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Maine's Clean Energy Economy</w:t>
      </w:r>
    </w:p>
    <w:p w:rsidR="009A56F7" w:rsidP="009A56F7">
      <w:pPr>
        <w:spacing w:after="240"/>
        <w:ind w:left="360"/>
        <w:jc w:val="right"/>
        <w:rPr>
          <w:rFonts w:ascii="Arial" w:eastAsia="Arial" w:hAnsi="Arial" w:cs="Arial"/>
          <w:caps/>
        </w:rPr>
      </w:pPr>
      <w:bookmarkStart w:id="0" w:name="_AMEND_TITLE__7c47f73f_c2fe_49c3_a422_29"/>
      <w:bookmarkStart w:id="1" w:name="_PAGE__1_30ee68a8_f2d5_45b4_a1d2_d2d0050"/>
      <w:bookmarkStart w:id="2" w:name="_PAR__2_76a4f7bc_9335_419a_b205_14595550"/>
      <w:r>
        <w:rPr>
          <w:rFonts w:ascii="Arial" w:eastAsia="Arial" w:hAnsi="Arial" w:cs="Arial"/>
          <w:caps/>
        </w:rPr>
        <w:t>L.D. 1350</w:t>
      </w:r>
    </w:p>
    <w:p w:rsidR="009A56F7" w:rsidP="009A56F7">
      <w:pPr>
        <w:tabs>
          <w:tab w:val="right" w:pos="8928"/>
        </w:tabs>
        <w:spacing w:after="360"/>
        <w:ind w:left="360"/>
        <w:rPr>
          <w:rFonts w:ascii="Arial" w:eastAsia="Arial" w:hAnsi="Arial" w:cs="Arial"/>
        </w:rPr>
      </w:pPr>
      <w:bookmarkStart w:id="3" w:name="_PAR__3_a4b9d93a_ac39_4ddd_aee7_11248e01"/>
      <w:bookmarkEnd w:id="2"/>
      <w:r>
        <w:rPr>
          <w:rFonts w:ascii="Arial" w:eastAsia="Arial" w:hAnsi="Arial" w:cs="Arial"/>
        </w:rPr>
        <w:t>Date:</w:t>
      </w:r>
      <w:r>
        <w:rPr>
          <w:rFonts w:ascii="Arial" w:eastAsia="Arial" w:hAnsi="Arial" w:cs="Arial"/>
        </w:rPr>
        <w:tab/>
        <w:t>(Filing No. S-         )</w:t>
      </w:r>
    </w:p>
    <w:p w:rsidR="009A56F7" w:rsidP="009A56F7">
      <w:pPr>
        <w:spacing w:before="600" w:after="300"/>
        <w:ind w:left="360"/>
        <w:jc w:val="center"/>
        <w:outlineLvl w:val="0"/>
        <w:rPr>
          <w:rFonts w:ascii="Arial" w:eastAsia="Arial" w:hAnsi="Arial" w:cs="Arial"/>
        </w:rPr>
      </w:pPr>
      <w:bookmarkStart w:id="4" w:name="_PAR__4_7177ab6f_c94c_4fe7_a69c_123c4728"/>
      <w:bookmarkEnd w:id="3"/>
      <w:r>
        <w:rPr>
          <w:rFonts w:ascii="Arial" w:eastAsia="Arial" w:hAnsi="Arial" w:cs="Arial"/>
          <w:b/>
          <w:caps/>
          <w:sz w:val="24"/>
          <w:szCs w:val="32"/>
        </w:rPr>
        <w:t xml:space="preserve">Energy, Utilities and Technology </w:t>
      </w:r>
    </w:p>
    <w:p w:rsidR="009A56F7" w:rsidP="009A56F7">
      <w:pPr>
        <w:spacing w:before="60" w:after="60"/>
        <w:ind w:left="720"/>
        <w:rPr>
          <w:rFonts w:ascii="Arial" w:eastAsia="Arial" w:hAnsi="Arial" w:cs="Arial"/>
        </w:rPr>
      </w:pPr>
      <w:bookmarkStart w:id="5" w:name="_PAR__5_dfdb164b_eb10_4392_b7dd_d5768bfb"/>
      <w:bookmarkEnd w:id="4"/>
      <w:r>
        <w:rPr>
          <w:rFonts w:ascii="Arial" w:eastAsia="Arial" w:hAnsi="Arial" w:cs="Arial"/>
        </w:rPr>
        <w:t>Reproduced and distributed under the direction of the Secretary of the Senate.</w:t>
      </w:r>
    </w:p>
    <w:p w:rsidR="009A56F7" w:rsidP="009A56F7">
      <w:pPr>
        <w:spacing w:before="160" w:after="0"/>
        <w:ind w:left="360"/>
        <w:jc w:val="center"/>
        <w:outlineLvl w:val="0"/>
        <w:rPr>
          <w:rFonts w:ascii="Arial" w:eastAsia="Arial" w:hAnsi="Arial" w:cs="Arial"/>
          <w:b/>
          <w:caps/>
          <w:sz w:val="24"/>
          <w:szCs w:val="32"/>
        </w:rPr>
      </w:pPr>
      <w:bookmarkStart w:id="6" w:name="_PAR__6_6c1e6b67_c832_456d_933f_d6dbb13f"/>
      <w:bookmarkEnd w:id="5"/>
      <w:r>
        <w:rPr>
          <w:rFonts w:ascii="Arial" w:eastAsia="Arial" w:hAnsi="Arial" w:cs="Arial"/>
          <w:b/>
          <w:caps/>
          <w:sz w:val="24"/>
          <w:szCs w:val="32"/>
        </w:rPr>
        <w:t>STATE OF MAINE</w:t>
      </w:r>
    </w:p>
    <w:p w:rsidR="009A56F7" w:rsidP="009A56F7">
      <w:pPr>
        <w:spacing w:after="0"/>
        <w:ind w:left="360"/>
        <w:jc w:val="center"/>
        <w:outlineLvl w:val="0"/>
        <w:rPr>
          <w:rFonts w:ascii="Arial" w:eastAsia="Arial" w:hAnsi="Arial" w:cs="Arial"/>
          <w:b/>
          <w:caps/>
          <w:sz w:val="24"/>
          <w:szCs w:val="32"/>
        </w:rPr>
      </w:pPr>
      <w:bookmarkStart w:id="7" w:name="_PAR__7_3b89ce53_ec98_422f_99b4_63222077"/>
      <w:bookmarkEnd w:id="6"/>
      <w:r>
        <w:rPr>
          <w:rFonts w:ascii="Arial" w:eastAsia="Arial" w:hAnsi="Arial" w:cs="Arial"/>
          <w:b/>
          <w:caps/>
          <w:sz w:val="24"/>
          <w:szCs w:val="32"/>
        </w:rPr>
        <w:t>SENATE</w:t>
      </w:r>
    </w:p>
    <w:p w:rsidR="009A56F7" w:rsidP="009A56F7">
      <w:pPr>
        <w:spacing w:after="0"/>
        <w:ind w:left="360"/>
        <w:jc w:val="center"/>
        <w:outlineLvl w:val="0"/>
        <w:rPr>
          <w:rFonts w:ascii="Arial" w:eastAsia="Arial" w:hAnsi="Arial" w:cs="Arial"/>
          <w:b/>
          <w:caps/>
          <w:sz w:val="24"/>
          <w:szCs w:val="32"/>
        </w:rPr>
      </w:pPr>
      <w:bookmarkStart w:id="8" w:name="_PAR__8_70328bc5_ca6c_44a0_abcb_a4ea661d"/>
      <w:bookmarkEnd w:id="7"/>
      <w:r>
        <w:rPr>
          <w:rFonts w:ascii="Arial" w:eastAsia="Arial" w:hAnsi="Arial" w:cs="Arial"/>
          <w:b/>
          <w:caps/>
          <w:sz w:val="24"/>
          <w:szCs w:val="32"/>
        </w:rPr>
        <w:t>130th Legislature</w:t>
      </w:r>
    </w:p>
    <w:p w:rsidR="009A56F7" w:rsidP="009A56F7">
      <w:pPr>
        <w:spacing w:after="0"/>
        <w:ind w:left="360"/>
        <w:jc w:val="center"/>
        <w:outlineLvl w:val="0"/>
        <w:rPr>
          <w:rFonts w:ascii="Arial" w:eastAsia="Arial" w:hAnsi="Arial" w:cs="Arial"/>
          <w:b/>
          <w:caps/>
          <w:sz w:val="24"/>
          <w:szCs w:val="32"/>
        </w:rPr>
      </w:pPr>
      <w:bookmarkStart w:id="9" w:name="_PAR__9_219ed85c_be19_457a_9e8e_3a424539"/>
      <w:bookmarkEnd w:id="8"/>
      <w:r>
        <w:rPr>
          <w:rFonts w:ascii="Arial" w:eastAsia="Arial" w:hAnsi="Arial" w:cs="Arial"/>
          <w:b/>
          <w:caps/>
          <w:sz w:val="24"/>
          <w:szCs w:val="32"/>
        </w:rPr>
        <w:t>Second Regular Session</w:t>
      </w:r>
    </w:p>
    <w:p w:rsidR="009A56F7" w:rsidP="009A56F7">
      <w:pPr>
        <w:spacing w:before="400" w:after="200"/>
        <w:ind w:left="360" w:firstLine="360"/>
        <w:rPr>
          <w:rFonts w:ascii="Arial" w:eastAsia="Arial" w:hAnsi="Arial" w:cs="Arial"/>
        </w:rPr>
      </w:pPr>
      <w:bookmarkStart w:id="10" w:name="_PAR__10_2d91c496_435f_46ef_a611_88af5a1"/>
      <w:bookmarkEnd w:id="9"/>
      <w:r>
        <w:rPr>
          <w:rFonts w:ascii="Arial" w:eastAsia="Arial" w:hAnsi="Arial" w:cs="Arial"/>
          <w:szCs w:val="22"/>
        </w:rPr>
        <w:t>COMMITTEE AMENDMENT “      ” to S.P. 432, L.D. 1350, “An Act To Expand Maine's Clean Energy Economy”</w:t>
      </w:r>
    </w:p>
    <w:p w:rsidR="009A56F7" w:rsidP="009A56F7">
      <w:pPr>
        <w:ind w:left="360" w:firstLine="360"/>
        <w:rPr>
          <w:rFonts w:ascii="Arial" w:eastAsia="Arial" w:hAnsi="Arial" w:cs="Arial"/>
        </w:rPr>
      </w:pPr>
      <w:bookmarkStart w:id="11" w:name="_INSTRUCTION__7a267281_1f6f_4ce5_9cf4_01"/>
      <w:bookmarkStart w:id="12" w:name="_PAR__11_8c87363a_cc9d_4e6d_8910_24f70d8"/>
      <w:bookmarkEnd w:id="0"/>
      <w:bookmarkEnd w:id="10"/>
      <w:r>
        <w:rPr>
          <w:rFonts w:ascii="Arial" w:eastAsia="Arial" w:hAnsi="Arial" w:cs="Arial"/>
        </w:rPr>
        <w:t>Amend the bill by striking out the title and substituting the following:</w:t>
      </w:r>
    </w:p>
    <w:p w:rsidR="009A56F7" w:rsidP="009A56F7">
      <w:pPr>
        <w:ind w:left="360"/>
        <w:rPr>
          <w:rFonts w:ascii="Arial" w:eastAsia="Arial" w:hAnsi="Arial" w:cs="Arial"/>
        </w:rPr>
      </w:pPr>
      <w:bookmarkStart w:id="13" w:name="_PAR__12_51c26d83_37a3_4ea5_b6b2_ce22e3a"/>
      <w:bookmarkEnd w:id="12"/>
      <w:r>
        <w:rPr>
          <w:rFonts w:ascii="Arial" w:eastAsia="Arial" w:hAnsi="Arial" w:cs="Arial"/>
          <w:b/>
        </w:rPr>
        <w:t>'An Act To Establish an Alternative Compliance Payment for Class II Resources'</w:t>
      </w:r>
    </w:p>
    <w:p w:rsidR="009A56F7" w:rsidP="009A56F7">
      <w:pPr>
        <w:ind w:left="360" w:firstLine="360"/>
        <w:rPr>
          <w:rFonts w:ascii="Arial" w:eastAsia="Arial" w:hAnsi="Arial" w:cs="Arial"/>
        </w:rPr>
      </w:pPr>
      <w:bookmarkStart w:id="14" w:name="_INSTRUCTION__2529a4ec_417a_4838_9cd2_79"/>
      <w:bookmarkStart w:id="15" w:name="_PAR__13_0c6697f5_f5a5_4931_94d2_193a1a8"/>
      <w:bookmarkEnd w:id="11"/>
      <w:bookmarkEnd w:id="13"/>
      <w:r>
        <w:rPr>
          <w:rFonts w:ascii="Arial" w:eastAsia="Arial" w:hAnsi="Arial" w:cs="Arial"/>
        </w:rPr>
        <w:t>Amend the bill by striking out everything after the enacting clause and inserting the following:</w:t>
      </w:r>
    </w:p>
    <w:p w:rsidR="009A56F7" w:rsidP="009A56F7">
      <w:pPr>
        <w:ind w:left="360" w:firstLine="360"/>
        <w:rPr>
          <w:rFonts w:ascii="Arial" w:eastAsia="Arial" w:hAnsi="Arial" w:cs="Arial"/>
        </w:rPr>
      </w:pPr>
      <w:bookmarkStart w:id="16" w:name="_PAR__14_80909459_dd25_433e_8728_9068b4d"/>
      <w:bookmarkEnd w:id="15"/>
      <w:r>
        <w:rPr>
          <w:rFonts w:ascii="Arial" w:eastAsia="Arial" w:hAnsi="Arial" w:cs="Arial"/>
        </w:rPr>
        <w:t>'</w:t>
      </w:r>
      <w:r>
        <w:rPr>
          <w:rFonts w:ascii="Arial" w:eastAsia="Arial" w:hAnsi="Arial" w:cs="Arial"/>
          <w:b/>
          <w:sz w:val="24"/>
        </w:rPr>
        <w:t>Sec. 1.  35-A MRSA §3210, sub-§2, ¶A-1,</w:t>
      </w:r>
      <w:r>
        <w:rPr>
          <w:rFonts w:ascii="Arial" w:eastAsia="Arial" w:hAnsi="Arial" w:cs="Arial"/>
        </w:rPr>
        <w:t xml:space="preserve"> as amended by PL 2019, c. 477, §1, is further amended to read:</w:t>
      </w:r>
    </w:p>
    <w:p w:rsidR="009A56F7" w:rsidP="009A56F7">
      <w:pPr>
        <w:ind w:left="720"/>
        <w:rPr>
          <w:rFonts w:ascii="Arial" w:eastAsia="Arial" w:hAnsi="Arial" w:cs="Arial"/>
        </w:rPr>
      </w:pPr>
      <w:bookmarkStart w:id="17" w:name="_PAR__15_d9497360_bed0_4137_abb3_a0ea6aa"/>
      <w:bookmarkEnd w:id="16"/>
      <w:r>
        <w:rPr>
          <w:rFonts w:ascii="Arial" w:eastAsia="Arial" w:hAnsi="Arial" w:cs="Arial"/>
        </w:rPr>
        <w:t xml:space="preserve">A-1.  "Alternative compliance payment rate" means a certain dollar amount per kilowatt-hour set by the commission that a competitive electricity provider may pay to the commission to satisfy the portfolio requirements of subsections </w:t>
      </w:r>
      <w:r>
        <w:rPr>
          <w:rFonts w:ascii="Arial" w:eastAsia="Arial" w:hAnsi="Arial" w:cs="Arial"/>
          <w:u w:val="single"/>
        </w:rPr>
        <w:t>3,</w:t>
      </w:r>
      <w:r>
        <w:rPr>
          <w:rFonts w:ascii="Arial" w:eastAsia="Arial" w:hAnsi="Arial" w:cs="Arial"/>
        </w:rPr>
        <w:t xml:space="preserve"> 3-A, 3-B and 3</w:t>
      </w:r>
      <w:r>
        <w:rPr>
          <w:rFonts w:ascii="Arial" w:eastAsia="Arial" w:hAnsi="Arial" w:cs="Arial"/>
        </w:rPr>
        <w:noBreakHyphen/>
        <w:t>C.</w:t>
      </w:r>
    </w:p>
    <w:p w:rsidR="009A56F7" w:rsidP="009A56F7">
      <w:pPr>
        <w:ind w:left="360" w:firstLine="360"/>
        <w:rPr>
          <w:rFonts w:ascii="Arial" w:eastAsia="Arial" w:hAnsi="Arial" w:cs="Arial"/>
        </w:rPr>
      </w:pPr>
      <w:bookmarkStart w:id="18" w:name="_PAR__16_e38a4d7d_e351_4f58_95e9_69b4e47"/>
      <w:bookmarkEnd w:id="17"/>
      <w:r>
        <w:rPr>
          <w:rFonts w:ascii="Arial" w:eastAsia="Arial" w:hAnsi="Arial" w:cs="Arial"/>
          <w:b/>
          <w:sz w:val="24"/>
        </w:rPr>
        <w:t>Sec. 2.  35-A MRSA §3210, sub-§9,</w:t>
      </w:r>
      <w:r>
        <w:rPr>
          <w:rFonts w:ascii="Arial" w:eastAsia="Arial" w:hAnsi="Arial" w:cs="Arial"/>
        </w:rPr>
        <w:t xml:space="preserve"> as amended by PL 2021, c. 199, §1, is further amended to read:</w:t>
      </w:r>
    </w:p>
    <w:p w:rsidR="009A56F7" w:rsidP="009A56F7">
      <w:pPr>
        <w:ind w:left="360" w:firstLine="360"/>
        <w:rPr>
          <w:rFonts w:ascii="Arial" w:eastAsia="Arial" w:hAnsi="Arial" w:cs="Arial"/>
        </w:rPr>
      </w:pPr>
      <w:bookmarkStart w:id="19" w:name="_PAR__17_609de06c_ea76_49c7_b408_bc950df"/>
      <w:bookmarkEnd w:id="18"/>
      <w:r>
        <w:rPr>
          <w:rFonts w:ascii="Arial" w:eastAsia="Arial" w:hAnsi="Arial" w:cs="Arial"/>
          <w:b/>
        </w:rPr>
        <w:t xml:space="preserve">9.  Alternative compliance payment. </w:t>
      </w:r>
      <w:r>
        <w:rPr>
          <w:rFonts w:ascii="Arial" w:eastAsia="Arial" w:hAnsi="Arial" w:cs="Arial"/>
        </w:rPr>
        <w:t xml:space="preserve"> The commission shall allow competitive electricity providers to satisfy the portfolio requirements for Class I resources under subsection 3‑A, Class IA resources under subsection 3‑B </w:t>
      </w:r>
      <w:r>
        <w:rPr>
          <w:rFonts w:ascii="Arial" w:eastAsia="Arial" w:hAnsi="Arial" w:cs="Arial"/>
          <w:strike/>
        </w:rPr>
        <w:t>and</w:t>
      </w:r>
      <w:r>
        <w:rPr>
          <w:rFonts w:ascii="Arial" w:eastAsia="Arial" w:hAnsi="Arial" w:cs="Arial"/>
          <w:u w:val="single"/>
        </w:rPr>
        <w:t>,</w:t>
      </w:r>
      <w:r>
        <w:rPr>
          <w:rFonts w:ascii="Arial" w:eastAsia="Arial" w:hAnsi="Arial" w:cs="Arial"/>
        </w:rPr>
        <w:t xml:space="preserve"> thermal renewable energy credits under subsection 3‑C </w:t>
      </w:r>
      <w:r>
        <w:rPr>
          <w:rFonts w:ascii="Arial" w:eastAsia="Arial" w:hAnsi="Arial" w:cs="Arial"/>
          <w:u w:val="single"/>
        </w:rPr>
        <w:t>and Class II resources under subsection 3</w:t>
      </w:r>
      <w:r>
        <w:rPr>
          <w:rFonts w:ascii="Arial" w:eastAsia="Arial" w:hAnsi="Arial" w:cs="Arial"/>
        </w:rPr>
        <w:t xml:space="preserve"> through an alternative compliance payment mechanism in accordance with this subsection.</w:t>
      </w:r>
    </w:p>
    <w:p w:rsidR="009A56F7" w:rsidP="009A56F7">
      <w:pPr>
        <w:ind w:left="720"/>
        <w:rPr>
          <w:rFonts w:ascii="Arial" w:eastAsia="Arial" w:hAnsi="Arial" w:cs="Arial"/>
        </w:rPr>
      </w:pPr>
      <w:bookmarkStart w:id="20" w:name="_PAR__18_a5cccb7a_ee26_49ec_ab21_80a199b"/>
      <w:bookmarkEnd w:id="19"/>
      <w:r>
        <w:rPr>
          <w:rFonts w:ascii="Arial" w:eastAsia="Arial" w:hAnsi="Arial" w:cs="Arial"/>
        </w:rPr>
        <w:t xml:space="preserve">A.  The commission shall set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rule</w:t>
      </w:r>
      <w:r>
        <w:rPr>
          <w:rFonts w:ascii="Arial" w:eastAsia="Arial" w:hAnsi="Arial" w:cs="Arial"/>
          <w:strike/>
        </w:rPr>
        <w:t>, which may not be greater than $50</w:t>
      </w:r>
      <w:r>
        <w:rPr>
          <w:rFonts w:ascii="Arial" w:eastAsia="Arial" w:hAnsi="Arial" w:cs="Arial"/>
        </w:rPr>
        <w:t xml:space="preserve"> </w:t>
      </w:r>
      <w:r>
        <w:rPr>
          <w:rFonts w:ascii="Arial" w:eastAsia="Arial" w:hAnsi="Arial" w:cs="Arial"/>
          <w:u w:val="single"/>
        </w:rPr>
        <w:t>for the requirements under subsections 3, 3-A, 3-B and 3-C</w:t>
      </w:r>
      <w:r>
        <w:rPr>
          <w:rFonts w:ascii="Arial" w:eastAsia="Arial" w:hAnsi="Arial" w:cs="Arial"/>
        </w:rPr>
        <w:t xml:space="preserve">, and shall publish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January 31st of each year.  </w:t>
      </w:r>
      <w:r>
        <w:rPr>
          <w:rFonts w:ascii="Arial" w:eastAsia="Arial" w:hAnsi="Arial" w:cs="Arial"/>
          <w:u w:val="single"/>
        </w:rPr>
        <w:t>In setting the alternative compliance payment rates, the commission shall balance the costs to ratepayers in the State with the interest of renewable resource investors in receiving a reasonable return on their investment.</w:t>
      </w:r>
      <w:r>
        <w:rPr>
          <w:rFonts w:ascii="Arial" w:eastAsia="Arial" w:hAnsi="Arial" w:cs="Arial"/>
        </w:rPr>
        <w:t xml:space="preserve">  In setting the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the commission shall take into account prevailing market prices, standard-offer service prices for electricity, reliance on alternative compliance payments to meet the </w:t>
      </w:r>
      <w:bookmarkStart w:id="21" w:name="_PAGE_SPLIT__c621925d_d446_46d2_b022_ab1"/>
      <w:bookmarkStart w:id="22" w:name="_PAGE__2_1cf206aa_9255_433e_9f4c_6fa5920"/>
      <w:bookmarkStart w:id="23" w:name="_PAR__2_357717de_c6f6_4078_9446_a067354a"/>
      <w:bookmarkEnd w:id="1"/>
      <w:bookmarkEnd w:id="20"/>
      <w:r>
        <w:rPr>
          <w:rFonts w:ascii="Arial" w:eastAsia="Arial" w:hAnsi="Arial" w:cs="Arial"/>
        </w:rPr>
        <w:t>r</w:t>
      </w:r>
      <w:bookmarkEnd w:id="21"/>
      <w:r>
        <w:rPr>
          <w:rFonts w:ascii="Arial" w:eastAsia="Arial" w:hAnsi="Arial" w:cs="Arial"/>
        </w:rPr>
        <w:t xml:space="preserve">equirements of subsections </w:t>
      </w:r>
      <w:r>
        <w:rPr>
          <w:rFonts w:ascii="Arial" w:eastAsia="Arial" w:hAnsi="Arial" w:cs="Arial"/>
          <w:u w:val="single"/>
        </w:rPr>
        <w:t>3,</w:t>
      </w:r>
      <w:r>
        <w:rPr>
          <w:rFonts w:ascii="Arial" w:eastAsia="Arial" w:hAnsi="Arial" w:cs="Arial"/>
        </w:rPr>
        <w:t xml:space="preserve"> 3-A, 3‑B and 3‑C and investment in Class I and Class IA resources and thermal renewable energy credits in the State during the previous calendar year</w:t>
      </w:r>
      <w:r>
        <w:rPr>
          <w:rFonts w:ascii="Arial" w:eastAsia="Arial" w:hAnsi="Arial" w:cs="Arial"/>
          <w:u w:val="single"/>
        </w:rPr>
        <w:t>, including investments that may affect the availability or price of Class II resources</w:t>
      </w:r>
      <w:r>
        <w:rPr>
          <w:rFonts w:ascii="Arial" w:eastAsia="Arial" w:hAnsi="Arial" w:cs="Arial"/>
        </w:rPr>
        <w:t>.</w:t>
      </w:r>
    </w:p>
    <w:p w:rsidR="009A56F7" w:rsidP="009A56F7">
      <w:pPr>
        <w:ind w:left="720"/>
        <w:rPr>
          <w:rFonts w:ascii="Arial" w:eastAsia="Arial" w:hAnsi="Arial" w:cs="Arial"/>
        </w:rPr>
      </w:pPr>
      <w:bookmarkStart w:id="24" w:name="_PAR__3_4f4315d3_8165_4fa8_a37b_3ad1c63f"/>
      <w:bookmarkEnd w:id="23"/>
      <w:r>
        <w:rPr>
          <w:rFonts w:ascii="Arial" w:eastAsia="Arial" w:hAnsi="Arial" w:cs="Arial"/>
        </w:rPr>
        <w:t xml:space="preserve">B.  The commission shall collect alternative compliance payments to meet the requirements of subsections </w:t>
      </w:r>
      <w:r>
        <w:rPr>
          <w:rFonts w:ascii="Arial" w:eastAsia="Arial" w:hAnsi="Arial" w:cs="Arial"/>
          <w:u w:val="single"/>
        </w:rPr>
        <w:t>3,</w:t>
      </w:r>
      <w:r>
        <w:rPr>
          <w:rFonts w:ascii="Arial" w:eastAsia="Arial" w:hAnsi="Arial" w:cs="Arial"/>
        </w:rPr>
        <w:t xml:space="preserve"> 3-A and 3-B made by competitive electricity providers and shall deposit all funds collected under this paragraph in the Energy Efficiency and Renewable Resource Fund established under section 10121, subsection 2 to be used to fund research, development and demonstration projects relating to renewable energy technologies and to fund rebates for cost-effective renewable energy technologies.</w:t>
      </w:r>
    </w:p>
    <w:p w:rsidR="009A56F7" w:rsidP="009A56F7">
      <w:pPr>
        <w:ind w:left="720"/>
        <w:rPr>
          <w:rFonts w:ascii="Arial" w:eastAsia="Arial" w:hAnsi="Arial" w:cs="Arial"/>
        </w:rPr>
      </w:pPr>
      <w:bookmarkStart w:id="25" w:name="_PAR__4_548684b3_d49a_4cbb_a368_f8f78cac"/>
      <w:bookmarkEnd w:id="24"/>
      <w:r>
        <w:rPr>
          <w:rFonts w:ascii="Arial" w:eastAsia="Arial" w:hAnsi="Arial" w:cs="Arial"/>
        </w:rPr>
        <w:t>C.  The commission shall collect alternative compliance payments to meet the requirements of subsection 3-C made by competitive electricity providers and shall deposit all funds collected under this paragraph in the Thermal Energy Investment Fund established under section 10128, subsection 2 to be used to fund incentives and low-interest or no-interest loans to businesses, municipalities, educational institutions and nonprofit entities in the State for the installation of new thermal energy-derived projects.</w:t>
      </w:r>
    </w:p>
    <w:p w:rsidR="009A56F7" w:rsidP="009A56F7">
      <w:pPr>
        <w:ind w:left="360"/>
        <w:rPr>
          <w:rFonts w:ascii="Arial" w:eastAsia="Arial" w:hAnsi="Arial" w:cs="Arial"/>
        </w:rPr>
      </w:pPr>
      <w:bookmarkStart w:id="26" w:name="_PAR__5_f6257a70_fb5c_431e_afcd_fc8c24b3"/>
      <w:bookmarkEnd w:id="25"/>
      <w:r>
        <w:rPr>
          <w:rFonts w:ascii="Arial" w:eastAsia="Arial" w:hAnsi="Arial" w:cs="Arial"/>
        </w:rPr>
        <w:t>The commission shall adopt rules to implement this subsection. Rules adopted under this subsection are routine technical rules as defined in Title 5, chapter 375, subchapter 2-A.'</w:t>
      </w:r>
    </w:p>
    <w:p w:rsidR="009A56F7" w:rsidP="009A56F7">
      <w:pPr>
        <w:ind w:left="360" w:firstLine="360"/>
        <w:rPr>
          <w:rFonts w:ascii="Arial" w:eastAsia="Arial" w:hAnsi="Arial" w:cs="Arial"/>
        </w:rPr>
      </w:pPr>
      <w:bookmarkStart w:id="27" w:name="_INSTRUCTION__5ac23feb_b79c_4e51_80f2_73"/>
      <w:bookmarkStart w:id="28" w:name="_PAR__6_77145e76_ccef_45b7_ba10_b5c83caf"/>
      <w:bookmarkEnd w:id="14"/>
      <w:bookmarkEnd w:id="26"/>
      <w:r>
        <w:rPr>
          <w:rFonts w:ascii="Arial" w:eastAsia="Arial" w:hAnsi="Arial" w:cs="Arial"/>
        </w:rPr>
        <w:t>Amend the bill by relettering or renumbering any nonconsecutive Part letter or section number to read consecutively.</w:t>
      </w:r>
    </w:p>
    <w:p w:rsidR="009A56F7" w:rsidP="009A56F7">
      <w:pPr>
        <w:keepNext/>
        <w:spacing w:before="240"/>
        <w:ind w:left="360"/>
        <w:jc w:val="center"/>
        <w:rPr>
          <w:rFonts w:ascii="Arial" w:eastAsia="Arial" w:hAnsi="Arial" w:cs="Arial"/>
        </w:rPr>
      </w:pPr>
      <w:bookmarkStart w:id="29" w:name="_SUMMARY__d68e2c9f_602a_46d1_af89_b33dea"/>
      <w:bookmarkStart w:id="30" w:name="_PAR__7_c7878a1e_9c1b_4ba0_b136_68338907"/>
      <w:bookmarkEnd w:id="27"/>
      <w:bookmarkEnd w:id="28"/>
      <w:r>
        <w:rPr>
          <w:rFonts w:ascii="Arial" w:eastAsia="Arial" w:hAnsi="Arial" w:cs="Arial"/>
          <w:b/>
          <w:sz w:val="24"/>
        </w:rPr>
        <w:t>SUMMARY</w:t>
      </w:r>
    </w:p>
    <w:p w:rsidR="009A56F7" w:rsidP="009A56F7">
      <w:pPr>
        <w:keepNext/>
        <w:ind w:left="360" w:firstLine="360"/>
        <w:rPr>
          <w:rFonts w:ascii="Arial" w:eastAsia="Arial" w:hAnsi="Arial" w:cs="Arial"/>
        </w:rPr>
      </w:pPr>
      <w:bookmarkStart w:id="31" w:name="_PAR__8_c4a5bb0d_7cec_4170_9183_22666598"/>
      <w:bookmarkEnd w:id="30"/>
      <w:r w:rsidRPr="00C71069">
        <w:rPr>
          <w:rFonts w:ascii="Arial" w:eastAsia="Arial" w:hAnsi="Arial" w:cs="Arial"/>
        </w:rPr>
        <w:t>Th</w:t>
      </w:r>
      <w:r>
        <w:rPr>
          <w:rFonts w:ascii="Arial" w:eastAsia="Arial" w:hAnsi="Arial" w:cs="Arial"/>
        </w:rPr>
        <w:t>is</w:t>
      </w:r>
      <w:r w:rsidRPr="00C71069">
        <w:rPr>
          <w:rFonts w:ascii="Arial" w:eastAsia="Arial" w:hAnsi="Arial" w:cs="Arial"/>
        </w:rPr>
        <w:t xml:space="preserve"> amendment replaces the bill. It requires the Public Utilities Commission to establish an alternative compliance payment rate by rule for competitive electricity providers to satisfy the portfolio requirements for Class I resources, Class IA resources, Class II resources and thermal renewable energy credits. In establishing the alternative compliance payment rates, the amendment adds that the commission must balance the interests of resource investors with the interests of ratepayers in addition to other factors.</w:t>
      </w:r>
    </w:p>
    <w:p w:rsidR="009A56F7" w:rsidP="009A56F7">
      <w:pPr>
        <w:keepNext/>
        <w:spacing w:before="60" w:after="60"/>
        <w:ind w:left="360"/>
        <w:jc w:val="center"/>
        <w:rPr>
          <w:rFonts w:ascii="Arial" w:eastAsia="Arial" w:hAnsi="Arial" w:cs="Arial"/>
        </w:rPr>
      </w:pPr>
      <w:bookmarkStart w:id="32" w:name="_FISCAL_NOTE_REQUIRED__7faf9cda_5041_4fb"/>
      <w:bookmarkStart w:id="33" w:name="_PAR__9_bca019f4_41e7_4856_9b0f_bc59629b"/>
      <w:bookmarkEnd w:id="31"/>
      <w:r>
        <w:rPr>
          <w:rFonts w:ascii="Arial" w:eastAsia="Arial" w:hAnsi="Arial" w:cs="Arial"/>
          <w:b/>
        </w:rPr>
        <w:t>FISCAL NOTE REQUIRED</w:t>
      </w:r>
    </w:p>
    <w:p w:rsidR="00000000" w:rsidRPr="009A56F7" w:rsidP="009A56F7">
      <w:pPr>
        <w:spacing w:before="60" w:after="60"/>
        <w:ind w:left="360"/>
        <w:jc w:val="center"/>
        <w:rPr>
          <w:rFonts w:ascii="Arial" w:eastAsia="Arial" w:hAnsi="Arial" w:cs="Arial"/>
          <w:b/>
        </w:rPr>
      </w:pPr>
      <w:bookmarkStart w:id="34" w:name="_PAR__10_3c8ed663_5c05_405c_8d8d_91c4256"/>
      <w:bookmarkEnd w:id="33"/>
      <w:r>
        <w:rPr>
          <w:rFonts w:ascii="Arial" w:eastAsia="Arial" w:hAnsi="Arial" w:cs="Arial"/>
          <w:b/>
        </w:rPr>
        <w:t>(See attached)</w:t>
      </w:r>
      <w:bookmarkEnd w:id="22"/>
      <w:bookmarkEnd w:id="29"/>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LR1499,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an Alternative Compliance Payment for Class II Resources</w:t>
    </w:r>
  </w:p>
  <w:p>
    <w:pPr>
      <w:suppressLineNumbers/>
      <w:spacing w:before="0" w:after="0"/>
      <w:jc w:val="center"/>
      <w:rPr>
        <w:rFonts w:ascii="Arial" w:eastAsia="Arial" w:hAnsi="Arial" w:cs="Arial"/>
      </w:rPr>
    </w:pPr>
    <w:r>
      <w:rPr>
        <w:rFonts w:ascii="Arial" w:eastAsia="Arial" w:hAnsi="Arial" w:cs="Arial"/>
        <w:sz w:val="22"/>
      </w:rPr>
      <w:t>L.D. 1350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A56F7"/>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1069"/>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