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Improve Electrical Supply Cost Transparency</w:t>
      </w:r>
    </w:p>
    <w:p w:rsidR="004B74E2" w:rsidP="004B74E2">
      <w:pPr>
        <w:ind w:left="360"/>
        <w:rPr>
          <w:rFonts w:ascii="Arial" w:eastAsia="Arial" w:hAnsi="Arial" w:cs="Arial"/>
        </w:rPr>
      </w:pPr>
      <w:bookmarkStart w:id="0" w:name="_ENACTING_CLAUSE__34da6316_4901_4eae_a79"/>
      <w:bookmarkStart w:id="1" w:name="_DOC_BODY__5d47eeb0_3ad2_4668_ac54_1e2a7"/>
      <w:bookmarkStart w:id="2" w:name="_DOC_BODY_CONTAINER__50854ef9_c537_43c1_"/>
      <w:bookmarkStart w:id="3" w:name="_PAGE__1_1e46c60f_c95d_4a70_b40f_3b0a86d"/>
      <w:bookmarkStart w:id="4" w:name="_PAR__1_61ec5c68_6b87_4170_b9be_44b23f5d"/>
      <w:bookmarkStart w:id="5" w:name="_LINE__1_4dfb5651_e67b_4a28_8c0d_51c473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B74E2" w:rsidP="004B74E2">
      <w:pPr>
        <w:ind w:left="360" w:firstLine="360"/>
        <w:rPr>
          <w:rFonts w:ascii="Arial" w:eastAsia="Arial" w:hAnsi="Arial" w:cs="Arial"/>
        </w:rPr>
      </w:pPr>
      <w:bookmarkStart w:id="6" w:name="_BILL_SECTION_HEADER__80ee27be_94ae_4c92"/>
      <w:bookmarkStart w:id="7" w:name="_BILL_SECTION__ebd8bc83_cdf5_4f26_b559_5"/>
      <w:bookmarkStart w:id="8" w:name="_DOC_BODY_CONTENT__c15181e1_4c9d_4cf1_af"/>
      <w:bookmarkStart w:id="9" w:name="_PAR__2_5cb8939e_ae1e_45ae_995f_d6da6fa7"/>
      <w:bookmarkStart w:id="10" w:name="_LINE__2_37b52a90_4a9c_41b5_88a5_657e65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7a53116c_3daf_4bb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35-A MRSA §3203, sub-§3-A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4B74E2" w:rsidP="004B74E2">
      <w:pPr>
        <w:ind w:left="360" w:firstLine="360"/>
        <w:rPr>
          <w:rFonts w:ascii="Arial" w:eastAsia="Arial" w:hAnsi="Arial" w:cs="Arial"/>
        </w:rPr>
      </w:pPr>
      <w:bookmarkStart w:id="12" w:name="_STATUTE_NUMBER__6eff718d_f65a_43e9_befe"/>
      <w:bookmarkStart w:id="13" w:name="_STATUTE_SS__5cdc9735_6b69_4262_94ee_0ff"/>
      <w:bookmarkStart w:id="14" w:name="_PAR__3_10fb1af2_c776_4d8d_a959_eb072d3b"/>
      <w:bookmarkStart w:id="15" w:name="_LINE__3_6ed5bcf9_a304_4f0a_a9b3_9ccbd03"/>
      <w:bookmarkStart w:id="16" w:name="_PROCESSED_CHANGE__d3cb978b_f4bc_4640_99"/>
      <w:bookmarkEnd w:id="6"/>
      <w:bookmarkEnd w:id="9"/>
      <w:r>
        <w:rPr>
          <w:rFonts w:ascii="Arial" w:eastAsia="Arial" w:hAnsi="Arial" w:cs="Arial"/>
          <w:b/>
          <w:u w:val="single"/>
        </w:rPr>
        <w:t>3-A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e9db3f68_6551_4aa5_a6"/>
      <w:r>
        <w:rPr>
          <w:rFonts w:ascii="Arial" w:eastAsia="Arial" w:hAnsi="Arial" w:cs="Arial"/>
          <w:b/>
          <w:u w:val="single"/>
        </w:rPr>
        <w:t xml:space="preserve">Standard offer disclosure.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49f2a648_fc6b_414e_950"/>
      <w:bookmarkEnd w:id="17"/>
      <w:r>
        <w:rPr>
          <w:rFonts w:ascii="Arial" w:eastAsia="Arial" w:hAnsi="Arial" w:cs="Arial"/>
          <w:u w:val="single"/>
        </w:rPr>
        <w:t xml:space="preserve">The commission shall adopt rules to require a </w:t>
      </w:r>
      <w:bookmarkStart w:id="19" w:name="_LINE__4_b9bf703a_14ee_45f5_a041_b436d80"/>
      <w:bookmarkEnd w:id="15"/>
      <w:r>
        <w:rPr>
          <w:rFonts w:ascii="Arial" w:eastAsia="Arial" w:hAnsi="Arial" w:cs="Arial"/>
          <w:u w:val="single"/>
        </w:rPr>
        <w:t xml:space="preserve">standard-offer service provider to provide to each </w:t>
      </w:r>
      <w:r>
        <w:rPr>
          <w:rFonts w:ascii="Arial" w:eastAsia="Arial" w:hAnsi="Arial" w:cs="Arial"/>
          <w:u w:val="single"/>
        </w:rPr>
        <w:t>customer</w:t>
      </w:r>
      <w:r>
        <w:rPr>
          <w:rFonts w:ascii="Arial" w:eastAsia="Arial" w:hAnsi="Arial" w:cs="Arial"/>
          <w:u w:val="single"/>
        </w:rPr>
        <w:t xml:space="preserve"> receiving standard-offer </w:t>
      </w:r>
      <w:bookmarkStart w:id="20" w:name="_LINE__5_58945a31_4b7e_4a9a_bd16_4b79de4"/>
      <w:bookmarkEnd w:id="19"/>
      <w:r>
        <w:rPr>
          <w:rFonts w:ascii="Arial" w:eastAsia="Arial" w:hAnsi="Arial" w:cs="Arial"/>
          <w:u w:val="single"/>
        </w:rPr>
        <w:t xml:space="preserve">electricity service a disclosure label that contains information on each energy source </w:t>
      </w:r>
      <w:r>
        <w:rPr>
          <w:rFonts w:ascii="Arial" w:eastAsia="Arial" w:hAnsi="Arial" w:cs="Arial"/>
          <w:u w:val="single"/>
        </w:rPr>
        <w:t>used</w:t>
      </w:r>
      <w:r>
        <w:rPr>
          <w:rFonts w:ascii="Arial" w:eastAsia="Arial" w:hAnsi="Arial" w:cs="Arial"/>
          <w:u w:val="single"/>
        </w:rPr>
        <w:t xml:space="preserve"> </w:t>
      </w:r>
      <w:bookmarkStart w:id="21" w:name="_LINE__6_ef37555a_9ea2_4ffb_88ed_3c21102"/>
      <w:bookmarkEnd w:id="20"/>
      <w:r>
        <w:rPr>
          <w:rFonts w:ascii="Arial" w:eastAsia="Arial" w:hAnsi="Arial" w:cs="Arial"/>
          <w:u w:val="single"/>
        </w:rPr>
        <w:t>in the generation service that the customer is receiving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including the cost in cents per </w:t>
      </w:r>
      <w:bookmarkStart w:id="22" w:name="_LINE__7_6781ba46_8872_4d73_add5_023936c"/>
      <w:bookmarkEnd w:id="21"/>
      <w:r>
        <w:rPr>
          <w:rFonts w:ascii="Arial" w:eastAsia="Arial" w:hAnsi="Arial" w:cs="Arial"/>
          <w:u w:val="single"/>
        </w:rPr>
        <w:t>kilowatt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hour for each energy source. The rule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must require the disclosure label to also </w:t>
      </w:r>
      <w:bookmarkStart w:id="23" w:name="_LINE__8_b904a564_8fd5_4f63_bbc2_a421b2e"/>
      <w:bookmarkEnd w:id="22"/>
      <w:r>
        <w:rPr>
          <w:rFonts w:ascii="Arial" w:eastAsia="Arial" w:hAnsi="Arial" w:cs="Arial"/>
          <w:u w:val="single"/>
        </w:rPr>
        <w:t>include the standard-offer rate stated in cents per kilowatt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hour and the term for which that </w:t>
      </w:r>
      <w:bookmarkStart w:id="24" w:name="_LINE__9_b3a61efb_99f5_45b8_b4af_9353eb6"/>
      <w:bookmarkEnd w:id="23"/>
      <w:r>
        <w:rPr>
          <w:rFonts w:ascii="Arial" w:eastAsia="Arial" w:hAnsi="Arial" w:cs="Arial"/>
          <w:u w:val="single"/>
        </w:rPr>
        <w:t xml:space="preserve">standard-offer rate is applicable. For the purposes of this subsection, 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energy source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</w:t>
      </w:r>
      <w:bookmarkStart w:id="25" w:name="_LINE__10_da8ecc71_627a_44ff_a75c_008c56"/>
      <w:bookmarkEnd w:id="24"/>
      <w:r>
        <w:rPr>
          <w:rFonts w:ascii="Arial" w:eastAsia="Arial" w:hAnsi="Arial" w:cs="Arial"/>
          <w:u w:val="single"/>
        </w:rPr>
        <w:t xml:space="preserve">includes, but is not limited to, biomass, coal, fuel cells, geothermal installations, </w:t>
      </w:r>
      <w:bookmarkStart w:id="26" w:name="_LINE__11_291b66ec_c948_45ef_be8f_3a0a86"/>
      <w:bookmarkEnd w:id="25"/>
      <w:r>
        <w:rPr>
          <w:rFonts w:ascii="Arial" w:eastAsia="Arial" w:hAnsi="Arial" w:cs="Arial"/>
          <w:u w:val="single"/>
        </w:rPr>
        <w:t xml:space="preserve">hydroelectric generators, municipal solid waste, natural gas, oil, solar energy, tidal power </w:t>
      </w:r>
      <w:bookmarkStart w:id="27" w:name="_LINE__12_3c54a6a2_cd50_4392_8c67_2e293f"/>
      <w:bookmarkEnd w:id="26"/>
      <w:r>
        <w:rPr>
          <w:rFonts w:ascii="Arial" w:eastAsia="Arial" w:hAnsi="Arial" w:cs="Arial"/>
          <w:u w:val="single"/>
        </w:rPr>
        <w:t xml:space="preserve">and wind energy. Rules adopted </w:t>
      </w:r>
      <w:r>
        <w:rPr>
          <w:rFonts w:ascii="Arial" w:eastAsia="Arial" w:hAnsi="Arial" w:cs="Arial"/>
          <w:u w:val="single"/>
        </w:rPr>
        <w:t>pursuant to</w:t>
      </w:r>
      <w:r>
        <w:rPr>
          <w:rFonts w:ascii="Arial" w:eastAsia="Arial" w:hAnsi="Arial" w:cs="Arial"/>
          <w:u w:val="single"/>
        </w:rPr>
        <w:t xml:space="preserve"> this subsection are routine technical rules </w:t>
      </w:r>
      <w:r>
        <w:rPr>
          <w:rFonts w:ascii="Arial" w:eastAsia="Arial" w:hAnsi="Arial" w:cs="Arial"/>
          <w:u w:val="single"/>
        </w:rPr>
        <w:t xml:space="preserve">as </w:t>
      </w:r>
      <w:bookmarkStart w:id="28" w:name="_LINE__13_04af9472_e099_4aa3_8b23_a37983"/>
      <w:bookmarkEnd w:id="27"/>
      <w:r>
        <w:rPr>
          <w:rFonts w:ascii="Arial" w:eastAsia="Arial" w:hAnsi="Arial" w:cs="Arial"/>
          <w:u w:val="single"/>
        </w:rPr>
        <w:t>defined in</w:t>
      </w:r>
      <w:r>
        <w:rPr>
          <w:rFonts w:ascii="Arial" w:eastAsia="Arial" w:hAnsi="Arial" w:cs="Arial"/>
          <w:u w:val="single"/>
        </w:rPr>
        <w:t xml:space="preserve"> Title 5, chapter 375, subchapter 2‑A.</w:t>
      </w:r>
      <w:bookmarkEnd w:id="28"/>
    </w:p>
    <w:p w:rsidR="004B74E2" w:rsidP="004B74E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9" w:name="_SUMMARY__b12c73aa_19aa_410b_b47c_602dae"/>
      <w:bookmarkStart w:id="30" w:name="_PAR__4_b19070bb_1d98_4951_9c3f_4ba7df49"/>
      <w:bookmarkStart w:id="31" w:name="_LINE__14_e0bb1bc0_7d67_4757_83c3_72f9f2"/>
      <w:bookmarkEnd w:id="7"/>
      <w:bookmarkEnd w:id="8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>SUMMARY</w:t>
      </w:r>
      <w:bookmarkEnd w:id="31"/>
    </w:p>
    <w:p w:rsidR="004B74E2" w:rsidP="004B74E2">
      <w:pPr>
        <w:ind w:left="360" w:firstLine="360"/>
        <w:rPr>
          <w:rFonts w:ascii="Arial" w:eastAsia="Arial" w:hAnsi="Arial" w:cs="Arial"/>
        </w:rPr>
      </w:pPr>
      <w:bookmarkStart w:id="32" w:name="_PAR__5_1645c4d1_793c_4ba6_a13a_69a51f75"/>
      <w:bookmarkStart w:id="33" w:name="_LINE__15_fd6e804f_440f_43ca_9e91_6d1efd"/>
      <w:bookmarkEnd w:id="30"/>
      <w:r w:rsidRPr="009E7352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>is</w:t>
      </w:r>
      <w:r w:rsidRPr="009E7352">
        <w:rPr>
          <w:rFonts w:ascii="Arial" w:eastAsia="Arial" w:hAnsi="Arial" w:cs="Arial"/>
        </w:rPr>
        <w:t xml:space="preserve"> </w:t>
      </w:r>
      <w:r w:rsidRPr="009E7352">
        <w:rPr>
          <w:rFonts w:ascii="Arial" w:eastAsia="Arial" w:hAnsi="Arial" w:cs="Arial"/>
        </w:rPr>
        <w:t xml:space="preserve">bill requires the Public Utilities Commission to adopt rules to require that </w:t>
      </w:r>
      <w:bookmarkStart w:id="34" w:name="_LINE__16_0285de59_41e7_4635_b5c2_e84f74"/>
      <w:bookmarkEnd w:id="33"/>
      <w:r w:rsidRPr="009E7352">
        <w:rPr>
          <w:rFonts w:ascii="Arial" w:eastAsia="Arial" w:hAnsi="Arial" w:cs="Arial"/>
        </w:rPr>
        <w:t xml:space="preserve">standard-offer service providers provide customers with standard-offer disclosure labels </w:t>
      </w:r>
      <w:bookmarkStart w:id="35" w:name="_LINE__17_c9f47e0a_d76e_47eb_bdfc_3f7a01"/>
      <w:bookmarkEnd w:id="34"/>
      <w:r w:rsidRPr="009E7352">
        <w:rPr>
          <w:rFonts w:ascii="Arial" w:eastAsia="Arial" w:hAnsi="Arial" w:cs="Arial"/>
        </w:rPr>
        <w:t xml:space="preserve">that include the cost of energy in cents per </w:t>
      </w:r>
      <w:r w:rsidRPr="009E7352">
        <w:rPr>
          <w:rFonts w:ascii="Arial" w:eastAsia="Arial" w:hAnsi="Arial" w:cs="Arial"/>
        </w:rPr>
        <w:t>kilowatt</w:t>
      </w:r>
      <w:r>
        <w:rPr>
          <w:rFonts w:ascii="Arial" w:eastAsia="Arial" w:hAnsi="Arial" w:cs="Arial"/>
        </w:rPr>
        <w:t>-</w:t>
      </w:r>
      <w:r w:rsidRPr="009E7352">
        <w:rPr>
          <w:rFonts w:ascii="Arial" w:eastAsia="Arial" w:hAnsi="Arial" w:cs="Arial"/>
        </w:rPr>
        <w:t xml:space="preserve">hour for each energy source </w:t>
      </w:r>
      <w:r>
        <w:rPr>
          <w:rFonts w:ascii="Arial" w:eastAsia="Arial" w:hAnsi="Arial" w:cs="Arial"/>
        </w:rPr>
        <w:t>used</w:t>
      </w:r>
      <w:r w:rsidRPr="009E7352">
        <w:rPr>
          <w:rFonts w:ascii="Arial" w:eastAsia="Arial" w:hAnsi="Arial" w:cs="Arial"/>
        </w:rPr>
        <w:t xml:space="preserve"> in the </w:t>
      </w:r>
      <w:bookmarkStart w:id="36" w:name="_LINE__18_15927026_1b77_4520_86de_2d10dc"/>
      <w:bookmarkEnd w:id="35"/>
      <w:r w:rsidRPr="009E7352">
        <w:rPr>
          <w:rFonts w:ascii="Arial" w:eastAsia="Arial" w:hAnsi="Arial" w:cs="Arial"/>
        </w:rPr>
        <w:t>generation service. The rules must require the disclosure label to also state the standard-</w:t>
      </w:r>
      <w:bookmarkStart w:id="37" w:name="_LINE__19_1206307e_e8ef_4703_835a_52efd6"/>
      <w:bookmarkEnd w:id="36"/>
      <w:r w:rsidRPr="009E7352">
        <w:rPr>
          <w:rFonts w:ascii="Arial" w:eastAsia="Arial" w:hAnsi="Arial" w:cs="Arial"/>
        </w:rPr>
        <w:t xml:space="preserve">offer rate in cents per </w:t>
      </w:r>
      <w:r w:rsidRPr="009E7352">
        <w:rPr>
          <w:rFonts w:ascii="Arial" w:eastAsia="Arial" w:hAnsi="Arial" w:cs="Arial"/>
        </w:rPr>
        <w:t>kilowatt</w:t>
      </w:r>
      <w:r>
        <w:rPr>
          <w:rFonts w:ascii="Arial" w:eastAsia="Arial" w:hAnsi="Arial" w:cs="Arial"/>
        </w:rPr>
        <w:t>-</w:t>
      </w:r>
      <w:r w:rsidRPr="009E7352">
        <w:rPr>
          <w:rFonts w:ascii="Arial" w:eastAsia="Arial" w:hAnsi="Arial" w:cs="Arial"/>
        </w:rPr>
        <w:t xml:space="preserve">hour and the term for which that standard-offer rate is </w:t>
      </w:r>
      <w:bookmarkStart w:id="38" w:name="_LINE__20_9110b0e8_de1d_47de_93f6_0917d2"/>
      <w:bookmarkEnd w:id="37"/>
      <w:r w:rsidRPr="009E7352">
        <w:rPr>
          <w:rFonts w:ascii="Arial" w:eastAsia="Arial" w:hAnsi="Arial" w:cs="Arial"/>
        </w:rPr>
        <w:t>applicable.</w:t>
      </w:r>
      <w:bookmarkEnd w:id="38"/>
    </w:p>
    <w:bookmarkEnd w:id="1"/>
    <w:bookmarkEnd w:id="2"/>
    <w:bookmarkEnd w:id="3"/>
    <w:bookmarkEnd w:id="29"/>
    <w:bookmarkEnd w:id="3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LR0202,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Improve Electrical Supply Cost Transparency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B74E2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E7352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135569</ItemId>
    <LRId>69943</LRId>
    <LRNumber>202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Improve Electrical Supply Cost Transparency</LRTitle>
    <ItemTitle>An Act to Improve Electrical Supply Cost Transparency</ItemTitle>
    <ShortTitle1>AN ACT TO IMPROVE ELECTRICAL</ShortTitle1>
    <ShortTitle2>SUPPLY COST TRANSPARENCY</ShortTitle2>
    <SponsorFirstName>Micky</SponsorFirstName>
    <SponsorLastName>Carmichael</SponsorLastName>
    <SponsorChamberPrefix>Rep.</SponsorChamberPrefix>
    <SponsorFrom>Greenbush</SponsorFrom>
    <DraftingCycleCount>1</DraftingCycleCount>
    <LatestDraftingActionId>130</LatestDraftingActionId>
    <LatestDraftingActionDate>2022-12-13T08:57:50</LatestDraftingActionDate>
    <LatestDrafterName>llaxon</LatestDrafterName>
    <LatestProoferName>ekeyes</LatestProoferName>
    <LatestTechName>rmiller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w:rsidR="004B74E2" w:rsidRDefault="004B74E2" w:rsidP="004B74E2"&amp;gt;&amp;lt;w:pPr&amp;gt;&amp;lt;w:ind w:left="360" /&amp;gt;&amp;lt;/w:pPr&amp;gt;&amp;lt;w:bookmarkStart w:id="0" w:name="_ENACTING_CLAUSE__34da6316_4901_4eae_a79" /&amp;gt;&amp;lt;w:bookmarkStart w:id="1" w:name="_DOC_BODY__5d47eeb0_3ad2_4668_ac54_1e2a7" /&amp;gt;&amp;lt;w:bookmarkStart w:id="2" w:name="_DOC_BODY_CONTAINER__50854ef9_c537_43c1_" /&amp;gt;&amp;lt;w:bookmarkStart w:id="3" w:name="_PAGE__1_1e46c60f_c95d_4a70_b40f_3b0a86d" /&amp;gt;&amp;lt;w:bookmarkStart w:id="4" w:name="_PAR__1_61ec5c68_6b87_4170_b9be_44b23f5d" /&amp;gt;&amp;lt;w:bookmarkStart w:id="5" w:name="_LINE__1_4dfb5651_e67b_4a28_8c0d_51c4731"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w:rsidR="004B74E2" w:rsidRDefault="004B74E2" w:rsidP="004B74E2"&amp;gt;&amp;lt;w:pPr&amp;gt;&amp;lt;w:ind w:left="360" w:firstLine="360" /&amp;gt;&amp;lt;/w:pPr&amp;gt;&amp;lt;w:bookmarkStart w:id="6" w:name="_BILL_SECTION_HEADER__80ee27be_94ae_4c92" /&amp;gt;&amp;lt;w:bookmarkStart w:id="7" w:name="_BILL_SECTION__ebd8bc83_cdf5_4f26_b559_5" /&amp;gt;&amp;lt;w:bookmarkStart w:id="8" w:name="_DOC_BODY_CONTENT__c15181e1_4c9d_4cf1_af" /&amp;gt;&amp;lt;w:bookmarkStart w:id="9" w:name="_PAR__2_5cb8939e_ae1e_45ae_995f_d6da6fa7" /&amp;gt;&amp;lt;w:bookmarkStart w:id="10" w:name="_LINE__2_37b52a90_4a9c_41b5_88a5_657e65a"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w:name="_BILL_SECTION_NUMBER__7a53116c_3daf_4bb9"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35-A MRSA §3203, sub-§3-A&amp;lt;/w:t&amp;gt;&amp;lt;/w:r&amp;gt;&amp;lt;w:r&amp;gt;&amp;lt;w:t xml:space="preserve"&amp;gt; is enacted to read:&amp;lt;/w:t&amp;gt;&amp;lt;/w:r&amp;gt;&amp;lt;w:bookmarkEnd w:id="10" /&amp;gt;&amp;lt;/w:p&amp;gt;&amp;lt;w:p w:rsidR="004B74E2" w:rsidRDefault="004B74E2" w:rsidP="004B74E2"&amp;gt;&amp;lt;w:pPr&amp;gt;&amp;lt;w:ind w:left="360" w:firstLine="360" /&amp;gt;&amp;lt;/w:pPr&amp;gt;&amp;lt;w:bookmarkStart w:id="12" w:name="_STATUTE_NUMBER__6eff718d_f65a_43e9_befe" /&amp;gt;&amp;lt;w:bookmarkStart w:id="13" w:name="_STATUTE_SS__5cdc9735_6b69_4262_94ee_0ff" /&amp;gt;&amp;lt;w:bookmarkStart w:id="14" w:name="_PAR__3_10fb1af2_c776_4d8d_a959_eb072d3b" /&amp;gt;&amp;lt;w:bookmarkStart w:id="15" w:name="_LINE__3_6ed5bcf9_a304_4f0a_a9b3_9ccbd03" /&amp;gt;&amp;lt;w:bookmarkStart w:id="16" w:name="_PROCESSED_CHANGE__d3cb978b_f4bc_4640_99" /&amp;gt;&amp;lt;w:bookmarkEnd w:id="6" /&amp;gt;&amp;lt;w:bookmarkEnd w:id="9" /&amp;gt;&amp;lt;w:ins w:id="17" w:author="BPS" w:date="2022-12-01T11:29:00Z"&amp;gt;&amp;lt;w:r&amp;gt;&amp;lt;w:rPr&amp;gt;&amp;lt;w:b /&amp;gt;&amp;lt;/w:rPr&amp;gt;&amp;lt;w:t&amp;gt;3-A&amp;lt;/w:t&amp;gt;&amp;lt;/w:r&amp;gt;&amp;lt;w:bookmarkEnd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w:name="_STATUTE_HEADNOTE__e9db3f68_6551_4aa5_a6" /&amp;gt;&amp;lt;w:r&amp;gt;&amp;lt;w:rPr&amp;gt;&amp;lt;w:b /&amp;gt;&amp;lt;/w:rPr&amp;gt;&amp;lt;w:t xml:space="preserve"&amp;gt;Standard offer disclosure. &amp;lt;/w:t&amp;gt;&amp;lt;/w:r&amp;gt;&amp;lt;w:r&amp;gt;&amp;lt;w:t xml:space="preserve"&amp;gt; &amp;lt;/w:t&amp;gt;&amp;lt;/w:r&amp;gt;&amp;lt;/w:ins&amp;gt;&amp;lt;w:bookmarkStart w:id="19" w:name="_STATUTE_CONTENT__49f2a648_fc6b_414e_950" /&amp;gt;&amp;lt;w:bookmarkEnd w:id="18" /&amp;gt;&amp;lt;w:ins w:id="20" w:author="BPS" w:date="2022-12-01T11:30:00Z"&amp;gt;&amp;lt;w:r w:rsidRPr="009E7352"&amp;gt;&amp;lt;w:t xml:space="preserve"&amp;gt;The commission shall adopt rules to require a &amp;lt;/w:t&amp;gt;&amp;lt;/w:r&amp;gt;&amp;lt;w:bookmarkStart w:id="21" w:name="_LINE__4_b9bf703a_14ee_45f5_a041_b436d80" /&amp;gt;&amp;lt;w:bookmarkEnd w:id="15" /&amp;gt;&amp;lt;w:r w:rsidRPr="009E7352"&amp;gt;&amp;lt;w:t xml:space="preserve"&amp;gt;standard-offer service provider to provide to each &amp;lt;/w:t&amp;gt;&amp;lt;/w:r&amp;gt;&amp;lt;/w:ins&amp;gt;&amp;lt;w:ins w:id="22" w:author="BPS" w:date="2022-12-05T12:49:00Z"&amp;gt;&amp;lt;w:r&amp;gt;&amp;lt;w:t&amp;gt;customer&amp;lt;/w:t&amp;gt;&amp;lt;/w:r&amp;gt;&amp;lt;/w:ins&amp;gt;&amp;lt;w:ins w:id="23" w:author="BPS" w:date="2022-12-01T11:30:00Z"&amp;gt;&amp;lt;w:r w:rsidRPr="009E7352"&amp;gt;&amp;lt;w:t xml:space="preserve"&amp;gt; receiving standard-offer &amp;lt;/w:t&amp;gt;&amp;lt;/w:r&amp;gt;&amp;lt;w:bookmarkStart w:id="24" w:name="_LINE__5_58945a31_4b7e_4a9a_bd16_4b79de4" /&amp;gt;&amp;lt;w:bookmarkEnd w:id="21" /&amp;gt;&amp;lt;w:r w:rsidRPr="009E7352"&amp;gt;&amp;lt;w:t xml:space="preserve"&amp;gt;electricity service a disclosure label that contains information on each energy source &amp;lt;/w:t&amp;gt;&amp;lt;/w:r&amp;gt;&amp;lt;w:r&amp;gt;&amp;lt;w:t&amp;gt;used&amp;lt;/w:t&amp;gt;&amp;lt;/w:r&amp;gt;&amp;lt;w:r w:rsidRPr="009E7352"&amp;gt;&amp;lt;w:t xml:space="preserve"&amp;gt; &amp;lt;/w:t&amp;gt;&amp;lt;/w:r&amp;gt;&amp;lt;w:bookmarkStart w:id="25" w:name="_LINE__6_ef37555a_9ea2_4ffb_88ed_3c21102" /&amp;gt;&amp;lt;w:bookmarkEnd w:id="24" /&amp;gt;&amp;lt;w:r w:rsidRPr="009E7352"&amp;gt;&amp;lt;w:t&amp;gt;in the generation service that the customer is receiving&amp;lt;/w:t&amp;gt;&amp;lt;/w:r&amp;gt;&amp;lt;/w:ins&amp;gt;&amp;lt;w:ins w:id="26" w:author="BPS" w:date="2022-12-05T12:50:00Z"&amp;gt;&amp;lt;w:r&amp;gt;&amp;lt;w:t&amp;gt;,&amp;lt;/w:t&amp;gt;&amp;lt;/w:r&amp;gt;&amp;lt;/w:ins&amp;gt;&amp;lt;w:ins w:id="27" w:author="BPS" w:date="2022-12-01T11:30:00Z"&amp;gt;&amp;lt;w:r w:rsidRPr="009E7352"&amp;gt;&amp;lt;w:t xml:space="preserve"&amp;gt; including the cost in cents per &amp;lt;/w:t&amp;gt;&amp;lt;/w:r&amp;gt;&amp;lt;w:bookmarkStart w:id="28" w:name="_LINE__7_6781ba46_8872_4d73_add5_023936c" /&amp;gt;&amp;lt;w:bookmarkEnd w:id="25" /&amp;gt;&amp;lt;w:r w:rsidRPr="009E7352"&amp;gt;&amp;lt;w:t&amp;gt;kilowatt&amp;lt;/w:t&amp;gt;&amp;lt;/w:r&amp;gt;&amp;lt;/w:ins&amp;gt;&amp;lt;w:ins w:id="29" w:author="BPS" w:date="2022-12-05T12:50:00Z"&amp;gt;&amp;lt;w:r&amp;gt;&amp;lt;w:t&amp;gt;-&amp;lt;/w:t&amp;gt;&amp;lt;/w:r&amp;gt;&amp;lt;/w:ins&amp;gt;&amp;lt;w:ins w:id="30" w:author="BPS" w:date="2022-12-01T11:30:00Z"&amp;gt;&amp;lt;w:r w:rsidRPr="009E7352"&amp;gt;&amp;lt;w:t&amp;gt;hour for each energy source. The rule&amp;lt;/w:t&amp;gt;&amp;lt;/w:r&amp;gt;&amp;lt;/w:ins&amp;gt;&amp;lt;w:ins w:id="31" w:author="BPS" w:date="2022-12-05T12:50:00Z"&amp;gt;&amp;lt;w:r&amp;gt;&amp;lt;w:t&amp;gt;s&amp;lt;/w:t&amp;gt;&amp;lt;/w:r&amp;gt;&amp;lt;/w:ins&amp;gt;&amp;lt;w:ins w:id="32" w:author="BPS" w:date="2022-12-01T11:30:00Z"&amp;gt;&amp;lt;w:r w:rsidRPr="009E7352"&amp;gt;&amp;lt;w:t xml:space="preserve"&amp;gt; must require the disclosure label to also &amp;lt;/w:t&amp;gt;&amp;lt;/w:r&amp;gt;&amp;lt;w:bookmarkStart w:id="33" w:name="_LINE__8_b904a564_8fd5_4f63_bbc2_a421b2e" /&amp;gt;&amp;lt;w:bookmarkEnd w:id="28" /&amp;gt;&amp;lt;w:r w:rsidRPr="009E7352"&amp;gt;&amp;lt;w:t&amp;gt;include the standard-offer rate stated in cents per kilowatt&amp;lt;/w:t&amp;gt;&amp;lt;/w:r&amp;gt;&amp;lt;/w:ins&amp;gt;&amp;lt;w:ins w:id="34" w:author="BPS" w:date="2022-12-05T12:50:00Z"&amp;gt;&amp;lt;w:r&amp;gt;&amp;lt;w:t&amp;gt;-&amp;lt;/w:t&amp;gt;&amp;lt;/w:r&amp;gt;&amp;lt;/w:ins&amp;gt;&amp;lt;w:ins w:id="35" w:author="BPS" w:date="2022-12-01T11:30:00Z"&amp;gt;&amp;lt;w:r w:rsidRPr="009E7352"&amp;gt;&amp;lt;w:t xml:space="preserve"&amp;gt;hour and the term for which that &amp;lt;/w:t&amp;gt;&amp;lt;/w:r&amp;gt;&amp;lt;w:bookmarkStart w:id="36" w:name="_LINE__9_b3a61efb_99f5_45b8_b4af_9353eb6" /&amp;gt;&amp;lt;w:bookmarkEnd w:id="33" /&amp;gt;&amp;lt;w:r w:rsidRPr="009E7352"&amp;gt;&amp;lt;w:t xml:space="preserve"&amp;gt;standard-offer rate is applicable. For the purposes of this subsection, &amp;lt;/w:t&amp;gt;&amp;lt;/w:r&amp;gt;&amp;lt;/w:ins&amp;gt;&amp;lt;w:ins w:id="37" w:author="BPS" w:date="2022-12-01T11:31:00Z"&amp;gt;&amp;lt;w:r&amp;gt;&amp;lt;w:t&amp;gt;"&amp;lt;/w:t&amp;gt;&amp;lt;/w:r&amp;gt;&amp;lt;/w:ins&amp;gt;&amp;lt;w:ins w:id="38" w:author="BPS" w:date="2022-12-01T11:30:00Z"&amp;gt;&amp;lt;w:r w:rsidRPr="009E7352"&amp;gt;&amp;lt;w:t&amp;gt;energy source&amp;lt;/w:t&amp;gt;&amp;lt;/w:r&amp;gt;&amp;lt;/w:ins&amp;gt;&amp;lt;w:ins w:id="39" w:author="BPS" w:date="2022-12-01T11:31:00Z"&amp;gt;&amp;lt;w:r&amp;gt;&amp;lt;w:t&amp;gt;"&amp;lt;/w:t&amp;gt;&amp;lt;/w:r&amp;gt;&amp;lt;/w:ins&amp;gt;&amp;lt;w:ins w:id="40" w:author="BPS" w:date="2022-12-01T11:30:00Z"&amp;gt;&amp;lt;w:r w:rsidRPr="009E7352"&amp;gt;&amp;lt;w:t xml:space="preserve"&amp;gt; &amp;lt;/w:t&amp;gt;&amp;lt;/w:r&amp;gt;&amp;lt;w:bookmarkStart w:id="41" w:name="_LINE__10_da8ecc71_627a_44ff_a75c_008c56" /&amp;gt;&amp;lt;w:bookmarkEnd w:id="36" /&amp;gt;&amp;lt;w:r w:rsidRPr="009E7352"&amp;gt;&amp;lt;w:t xml:space="preserve"&amp;gt;includes, but is not limited to, biomass, coal, fuel cells, geothermal installations, &amp;lt;/w:t&amp;gt;&amp;lt;/w:r&amp;gt;&amp;lt;w:bookmarkStart w:id="42" w:name="_LINE__11_291b66ec_c948_45ef_be8f_3a0a86" /&amp;gt;&amp;lt;w:bookmarkEnd w:id="41" /&amp;gt;&amp;lt;w:r w:rsidRPr="009E7352"&amp;gt;&amp;lt;w:t xml:space="preserve"&amp;gt;hydroelectric generators, municipal solid waste, natural gas, oil, solar energy, tidal power &amp;lt;/w:t&amp;gt;&amp;lt;/w:r&amp;gt;&amp;lt;w:bookmarkStart w:id="43" w:name="_LINE__12_3c54a6a2_cd50_4392_8c67_2e293f" /&amp;gt;&amp;lt;w:bookmarkEnd w:id="42" /&amp;gt;&amp;lt;w:r w:rsidRPr="009E7352"&amp;gt;&amp;lt;w:t xml:space="preserve"&amp;gt;and wind energy. Rules adopted &amp;lt;/w:t&amp;gt;&amp;lt;/w:r&amp;gt;&amp;lt;/w:ins&amp;gt;&amp;lt;w:ins w:id="44" w:author="BPS" w:date="2022-12-05T12:51:00Z"&amp;gt;&amp;lt;w:r&amp;gt;&amp;lt;w:t&amp;gt;pursuant to&amp;lt;/w:t&amp;gt;&amp;lt;/w:r&amp;gt;&amp;lt;/w:ins&amp;gt;&amp;lt;w:ins w:id="45" w:author="BPS" w:date="2022-12-01T11:30:00Z"&amp;gt;&amp;lt;w:r w:rsidRPr="009E7352"&amp;gt;&amp;lt;w:t xml:space="preserve"&amp;gt; this subsection are routine technical rules &amp;lt;/w:t&amp;gt;&amp;lt;/w:r&amp;gt;&amp;lt;/w:ins&amp;gt;&amp;lt;w:ins w:id="46" w:author="BPS" w:date="2022-12-05T12:51:00Z"&amp;gt;&amp;lt;w:r&amp;gt;&amp;lt;w:t xml:space="preserve"&amp;gt;as &amp;lt;/w:t&amp;gt;&amp;lt;/w:r&amp;gt;&amp;lt;w:bookmarkStart w:id="47" w:name="_LINE__13_04af9472_e099_4aa3_8b23_a37983" /&amp;gt;&amp;lt;w:bookmarkEnd w:id="43" /&amp;gt;&amp;lt;w:r&amp;gt;&amp;lt;w:t&amp;gt;defined in&amp;lt;/w:t&amp;gt;&amp;lt;/w:r&amp;gt;&amp;lt;/w:ins&amp;gt;&amp;lt;w:ins w:id="48" w:author="BPS" w:date="2022-12-01T11:30:00Z"&amp;gt;&amp;lt;w:r w:rsidRPr="009E7352"&amp;gt;&amp;lt;w:t xml:space="preserve"&amp;gt; Title 5, chapter 375, subchapter 2‑A.&amp;lt;/w:t&amp;gt;&amp;lt;/w:r&amp;gt;&amp;lt;/w:ins&amp;gt;&amp;lt;w:bookmarkEnd w:id="47" /&amp;gt;&amp;lt;/w:p&amp;gt;&amp;lt;w:p w:rsidR="004B74E2" w:rsidRDefault="004B74E2" w:rsidP="004B74E2"&amp;gt;&amp;lt;w:pPr&amp;gt;&amp;lt;w:keepNext /&amp;gt;&amp;lt;w:spacing w:before="240" /&amp;gt;&amp;lt;w:ind w:left="360" /&amp;gt;&amp;lt;w:jc w:val="center" /&amp;gt;&amp;lt;/w:pPr&amp;gt;&amp;lt;w:bookmarkStart w:id="49" w:name="_SUMMARY__b12c73aa_19aa_410b_b47c_602dae" /&amp;gt;&amp;lt;w:bookmarkStart w:id="50" w:name="_PAR__4_b19070bb_1d98_4951_9c3f_4ba7df49" /&amp;gt;&amp;lt;w:bookmarkStart w:id="51" w:name="_LINE__14_e0bb1bc0_7d67_4757_83c3_72f9f2" /&amp;gt;&amp;lt;w:bookmarkEnd w:id="7" /&amp;gt;&amp;lt;w:bookmarkEnd w:id="8"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/&amp;gt;&amp;lt;/w:rPr&amp;gt;&amp;lt;w:t&amp;gt;SUMMARY&amp;lt;/w:t&amp;gt;&amp;lt;/w:r&amp;gt;&amp;lt;w:bookmarkEnd w:id="51" /&amp;gt;&amp;lt;/w:p&amp;gt;&amp;lt;w:p w:rsidR="004B74E2" w:rsidRDefault="004B74E2" w:rsidP="004B74E2"&amp;gt;&amp;lt;w:pPr&amp;gt;&amp;lt;w:ind w:left="360" w:firstLine="360" /&amp;gt;&amp;lt;/w:pPr&amp;gt;&amp;lt;w:bookmarkStart w:id="52" w:name="_PAR__5_1645c4d1_793c_4ba6_a13a_69a51f75" /&amp;gt;&amp;lt;w:bookmarkStart w:id="53" w:name="_LINE__15_fd6e804f_440f_43ca_9e91_6d1efd" /&amp;gt;&amp;lt;w:bookmarkEnd w:id="50" /&amp;gt;&amp;lt;w:r w:rsidRPr="009E7352"&amp;gt;&amp;lt;w:t&amp;gt;Th&amp;lt;/w:t&amp;gt;&amp;lt;/w:r&amp;gt;&amp;lt;w:r&amp;gt;&amp;lt;w:t&amp;gt;is&amp;lt;/w:t&amp;gt;&amp;lt;/w:r&amp;gt;&amp;lt;w:r w:rsidRPr="009E7352"&amp;gt;&amp;lt;w:t xml:space="preserve"&amp;gt; &amp;lt;/w:t&amp;gt;&amp;lt;/w:r&amp;gt;&amp;lt;w:r w:rsidRPr="009E7352"&amp;gt;&amp;lt;w:t xml:space="preserve"&amp;gt;bill requires the Public Utilities Commission to adopt rules to require that &amp;lt;/w:t&amp;gt;&amp;lt;/w:r&amp;gt;&amp;lt;w:bookmarkStart w:id="54" w:name="_LINE__16_0285de59_41e7_4635_b5c2_e84f74" /&amp;gt;&amp;lt;w:bookmarkEnd w:id="53" /&amp;gt;&amp;lt;w:r w:rsidRPr="009E7352"&amp;gt;&amp;lt;w:t xml:space="preserve"&amp;gt;standard-offer service providers provide customers with standard-offer disclosure labels &amp;lt;/w:t&amp;gt;&amp;lt;/w:r&amp;gt;&amp;lt;w:bookmarkStart w:id="55" w:name="_LINE__17_c9f47e0a_d76e_47eb_bdfc_3f7a01" /&amp;gt;&amp;lt;w:bookmarkEnd w:id="54" /&amp;gt;&amp;lt;w:r w:rsidRPr="009E7352"&amp;gt;&amp;lt;w:t xml:space="preserve"&amp;gt;that include the cost of energy in cents per &amp;lt;/w:t&amp;gt;&amp;lt;/w:r&amp;gt;&amp;lt;w:r w:rsidRPr="009E7352"&amp;gt;&amp;lt;w:t&amp;gt;kilowatt&amp;lt;/w:t&amp;gt;&amp;lt;/w:r&amp;gt;&amp;lt;w:r&amp;gt;&amp;lt;w:t&amp;gt;-&amp;lt;/w:t&amp;gt;&amp;lt;/w:r&amp;gt;&amp;lt;w:r w:rsidRPr="009E7352"&amp;gt;&amp;lt;w:t xml:space="preserve"&amp;gt;hour for each energy source &amp;lt;/w:t&amp;gt;&amp;lt;/w:r&amp;gt;&amp;lt;w:r&amp;gt;&amp;lt;w:t&amp;gt;used&amp;lt;/w:t&amp;gt;&amp;lt;/w:r&amp;gt;&amp;lt;w:r w:rsidRPr="009E7352"&amp;gt;&amp;lt;w:t xml:space="preserve"&amp;gt; in the &amp;lt;/w:t&amp;gt;&amp;lt;/w:r&amp;gt;&amp;lt;w:bookmarkStart w:id="56" w:name="_LINE__18_15927026_1b77_4520_86de_2d10dc" /&amp;gt;&amp;lt;w:bookmarkEnd w:id="55" /&amp;gt;&amp;lt;w:r w:rsidRPr="009E7352"&amp;gt;&amp;lt;w:t&amp;gt;generation service. The rules must require the disclosure label to also state the standard-&amp;lt;/w:t&amp;gt;&amp;lt;/w:r&amp;gt;&amp;lt;w:bookmarkStart w:id="57" w:name="_LINE__19_1206307e_e8ef_4703_835a_52efd6" /&amp;gt;&amp;lt;w:bookmarkEnd w:id="56" /&amp;gt;&amp;lt;w:r w:rsidRPr="009E7352"&amp;gt;&amp;lt;w:t xml:space="preserve"&amp;gt;offer rate in cents per &amp;lt;/w:t&amp;gt;&amp;lt;/w:r&amp;gt;&amp;lt;w:r w:rsidRPr="009E7352"&amp;gt;&amp;lt;w:t&amp;gt;kilowatt&amp;lt;/w:t&amp;gt;&amp;lt;/w:r&amp;gt;&amp;lt;w:r&amp;gt;&amp;lt;w:t&amp;gt;-&amp;lt;/w:t&amp;gt;&amp;lt;/w:r&amp;gt;&amp;lt;w:r w:rsidRPr="009E7352"&amp;gt;&amp;lt;w:t xml:space="preserve"&amp;gt;hour and the term for which that standard-offer rate is &amp;lt;/w:t&amp;gt;&amp;lt;/w:r&amp;gt;&amp;lt;w:bookmarkStart w:id="58" w:name="_LINE__20_9110b0e8_de1d_47de_93f6_0917d2" /&amp;gt;&amp;lt;w:bookmarkEnd w:id="57" /&amp;gt;&amp;lt;w:r w:rsidRPr="009E7352"&amp;gt;&amp;lt;w:t&amp;gt;applicable.&amp;lt;/w:t&amp;gt;&amp;lt;/w:r&amp;gt;&amp;lt;w:bookmarkEnd w:id="58" /&amp;gt;&amp;lt;/w:p&amp;gt;&amp;lt;w:bookmarkEnd w:id="1" /&amp;gt;&amp;lt;w:bookmarkEnd w:id="2" /&amp;gt;&amp;lt;w:bookmarkEnd w:id="3" /&amp;gt;&amp;lt;w:bookmarkEnd w:id="49" /&amp;gt;&amp;lt;w:bookmarkEnd w:id="52" /&amp;gt;&amp;lt;w:p w:rsidR="00000000" w:rsidRDefault="004B74E2"&amp;gt;&amp;lt;w:r&amp;gt;&amp;lt;w:t xml:space="preserve"&amp;gt; &amp;lt;/w:t&amp;gt;&amp;lt;/w:r&amp;gt;&amp;lt;/w:p&amp;gt;&amp;lt;w:sectPr w:rsidR="00000000" w:rsidSect="004B74E2"&amp;gt;&amp;lt;w:footerReference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w:rsidR="007C22EA" w:rsidRDefault="004B74E2"&amp;gt;&amp;lt;w:pPr&amp;gt;&amp;lt;w:pStyle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/&amp;gt;&amp;lt;/w:rPr&amp;gt;&amp;lt;w:t&amp;gt;131LR0202(01)&amp;lt;/w:t&amp;gt;&amp;lt;/w:r&amp;gt;&amp;lt;w:r&amp;gt;&amp;lt;w:rPr&amp;gt;&amp;lt;w:snapToGrid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e46c60f_c95d_4a70_b40f_3b0a86d&lt;/BookmarkName&gt;&lt;Tables /&gt;&lt;/ProcessedCheckInPage&gt;&lt;/Pages&gt;&lt;Paragraphs&gt;&lt;CheckInParagraphs&gt;&lt;PageNumber&gt;1&lt;/PageNumber&gt;&lt;BookmarkName&gt;_PAR__1_61ec5c68_6b87_4170_b9be_44b23f5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cb8939e_ae1e_45ae_995f_d6da6fa7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10fb1af2_c776_4d8d_a959_eb072d3b&lt;/BookmarkName&gt;&lt;StartingLineNumber&gt;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19070bb_1d98_4951_9c3f_4ba7df49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1645c4d1_793c_4ba6_a13a_69a51f75&lt;/BookmarkName&gt;&lt;StartingLineNumber&gt;15&lt;/StartingLineNumber&gt;&lt;EndingLineNumber&gt;20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