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Child Care Affordability and Early Childhood Educator Stability</w:t>
      </w:r>
    </w:p>
    <w:p w:rsidR="006F5D5D" w:rsidP="006F5D5D">
      <w:pPr>
        <w:spacing w:after="240"/>
        <w:ind w:left="360"/>
        <w:jc w:val="right"/>
        <w:rPr>
          <w:rFonts w:ascii="Arial" w:eastAsia="Arial" w:hAnsi="Arial" w:cs="Arial"/>
          <w:caps/>
        </w:rPr>
      </w:pPr>
      <w:bookmarkStart w:id="0" w:name="_AMEND_TITLE__7d73c2fb_5921_4007_bfb1_4b"/>
      <w:bookmarkStart w:id="1" w:name="_PAGE__1_6e600180_013e_49f7_a445_46e8b64"/>
      <w:bookmarkStart w:id="2" w:name="_PAR__2_70ebe964_0046_49a1_b482_0e66184b"/>
      <w:r>
        <w:rPr>
          <w:rFonts w:ascii="Arial" w:eastAsia="Arial" w:hAnsi="Arial" w:cs="Arial"/>
          <w:caps/>
        </w:rPr>
        <w:t>L.D. 1955</w:t>
      </w:r>
    </w:p>
    <w:p w:rsidR="006F5D5D" w:rsidP="006F5D5D">
      <w:pPr>
        <w:tabs>
          <w:tab w:val="right" w:pos="8928"/>
        </w:tabs>
        <w:spacing w:after="360"/>
        <w:ind w:left="360"/>
        <w:rPr>
          <w:rFonts w:ascii="Arial" w:eastAsia="Arial" w:hAnsi="Arial" w:cs="Arial"/>
        </w:rPr>
      </w:pPr>
      <w:bookmarkStart w:id="3" w:name="_PAR__3_a8e65139_034c_4289_ad6d_0e2b8eaa"/>
      <w:bookmarkEnd w:id="2"/>
      <w:r>
        <w:rPr>
          <w:rFonts w:ascii="Arial" w:eastAsia="Arial" w:hAnsi="Arial" w:cs="Arial"/>
        </w:rPr>
        <w:t>Date:</w:t>
      </w:r>
      <w:r>
        <w:rPr>
          <w:rFonts w:ascii="Arial" w:eastAsia="Arial" w:hAnsi="Arial" w:cs="Arial"/>
        </w:rPr>
        <w:tab/>
        <w:t>(Filing No. S-         )</w:t>
      </w:r>
    </w:p>
    <w:p w:rsidR="006F5D5D" w:rsidP="006F5D5D">
      <w:pPr>
        <w:spacing w:before="600" w:after="300"/>
        <w:ind w:left="360"/>
        <w:jc w:val="center"/>
        <w:outlineLvl w:val="0"/>
        <w:rPr>
          <w:rFonts w:ascii="Arial" w:eastAsia="Arial" w:hAnsi="Arial" w:cs="Arial"/>
        </w:rPr>
      </w:pPr>
      <w:bookmarkStart w:id="4" w:name="_PAR__4_931ad1fd_e2e4_465a_acc7_58cb3776"/>
      <w:bookmarkEnd w:id="3"/>
      <w:r>
        <w:rPr>
          <w:rFonts w:ascii="Arial" w:eastAsia="Arial" w:hAnsi="Arial" w:cs="Arial"/>
          <w:b/>
          <w:caps/>
          <w:sz w:val="24"/>
          <w:szCs w:val="32"/>
        </w:rPr>
        <w:t xml:space="preserve">Health and Human Services </w:t>
      </w:r>
    </w:p>
    <w:p w:rsidR="006F5D5D" w:rsidP="006F5D5D">
      <w:pPr>
        <w:spacing w:before="60" w:after="60"/>
        <w:ind w:left="720"/>
        <w:rPr>
          <w:rFonts w:ascii="Arial" w:eastAsia="Arial" w:hAnsi="Arial" w:cs="Arial"/>
        </w:rPr>
      </w:pPr>
      <w:bookmarkStart w:id="5" w:name="_PAR__5_dec3ff36_870c_45ac_b05a_098a8336"/>
      <w:bookmarkEnd w:id="4"/>
      <w:r>
        <w:rPr>
          <w:rFonts w:ascii="Arial" w:eastAsia="Arial" w:hAnsi="Arial" w:cs="Arial"/>
        </w:rPr>
        <w:t>Reproduced and distributed under the direction of the Secretary of the Senate.</w:t>
      </w:r>
    </w:p>
    <w:p w:rsidR="006F5D5D" w:rsidP="006F5D5D">
      <w:pPr>
        <w:spacing w:before="160" w:after="0"/>
        <w:ind w:left="360"/>
        <w:jc w:val="center"/>
        <w:outlineLvl w:val="0"/>
        <w:rPr>
          <w:rFonts w:ascii="Arial" w:eastAsia="Arial" w:hAnsi="Arial" w:cs="Arial"/>
          <w:b/>
          <w:caps/>
          <w:sz w:val="24"/>
          <w:szCs w:val="32"/>
        </w:rPr>
      </w:pPr>
      <w:bookmarkStart w:id="6" w:name="_PAR__6_7ccd31ae_d186_40ef_8368_52ca1630"/>
      <w:bookmarkEnd w:id="5"/>
      <w:r>
        <w:rPr>
          <w:rFonts w:ascii="Arial" w:eastAsia="Arial" w:hAnsi="Arial" w:cs="Arial"/>
          <w:b/>
          <w:caps/>
          <w:sz w:val="24"/>
          <w:szCs w:val="32"/>
        </w:rPr>
        <w:t>STATE OF MAINE</w:t>
      </w:r>
    </w:p>
    <w:p w:rsidR="006F5D5D" w:rsidP="006F5D5D">
      <w:pPr>
        <w:spacing w:after="0"/>
        <w:ind w:left="360"/>
        <w:jc w:val="center"/>
        <w:outlineLvl w:val="0"/>
        <w:rPr>
          <w:rFonts w:ascii="Arial" w:eastAsia="Arial" w:hAnsi="Arial" w:cs="Arial"/>
          <w:b/>
          <w:caps/>
          <w:sz w:val="24"/>
          <w:szCs w:val="32"/>
        </w:rPr>
      </w:pPr>
      <w:bookmarkStart w:id="7" w:name="_PAR__7_fb702b56_4c27_42ed_9905_a443b326"/>
      <w:bookmarkEnd w:id="6"/>
      <w:r>
        <w:rPr>
          <w:rFonts w:ascii="Arial" w:eastAsia="Arial" w:hAnsi="Arial" w:cs="Arial"/>
          <w:b/>
          <w:caps/>
          <w:sz w:val="24"/>
          <w:szCs w:val="32"/>
        </w:rPr>
        <w:t>SENATE</w:t>
      </w:r>
    </w:p>
    <w:p w:rsidR="006F5D5D" w:rsidP="006F5D5D">
      <w:pPr>
        <w:spacing w:after="0"/>
        <w:ind w:left="360"/>
        <w:jc w:val="center"/>
        <w:outlineLvl w:val="0"/>
        <w:rPr>
          <w:rFonts w:ascii="Arial" w:eastAsia="Arial" w:hAnsi="Arial" w:cs="Arial"/>
          <w:b/>
          <w:caps/>
          <w:sz w:val="24"/>
          <w:szCs w:val="32"/>
        </w:rPr>
      </w:pPr>
      <w:bookmarkStart w:id="8" w:name="_PAR__8_4a66ad06_087f_4dce_9fea_6a90ddce"/>
      <w:bookmarkEnd w:id="7"/>
      <w:r>
        <w:rPr>
          <w:rFonts w:ascii="Arial" w:eastAsia="Arial" w:hAnsi="Arial" w:cs="Arial"/>
          <w:b/>
          <w:caps/>
          <w:sz w:val="24"/>
          <w:szCs w:val="32"/>
        </w:rPr>
        <w:t>132nd Legislature</w:t>
      </w:r>
    </w:p>
    <w:p w:rsidR="006F5D5D" w:rsidP="006F5D5D">
      <w:pPr>
        <w:spacing w:after="0"/>
        <w:ind w:left="360"/>
        <w:jc w:val="center"/>
        <w:outlineLvl w:val="0"/>
        <w:rPr>
          <w:rFonts w:ascii="Arial" w:eastAsia="Arial" w:hAnsi="Arial" w:cs="Arial"/>
          <w:b/>
          <w:caps/>
          <w:sz w:val="24"/>
          <w:szCs w:val="32"/>
        </w:rPr>
      </w:pPr>
      <w:bookmarkStart w:id="9" w:name="_PAR__9_ccb17c99_0a82_44bc_a5d5_66157ec4"/>
      <w:bookmarkEnd w:id="8"/>
      <w:r>
        <w:rPr>
          <w:rFonts w:ascii="Arial" w:eastAsia="Arial" w:hAnsi="Arial" w:cs="Arial"/>
          <w:b/>
          <w:caps/>
          <w:sz w:val="24"/>
          <w:szCs w:val="32"/>
        </w:rPr>
        <w:t>Second Regular Session</w:t>
      </w:r>
    </w:p>
    <w:p w:rsidR="006F5D5D" w:rsidP="006F5D5D">
      <w:pPr>
        <w:spacing w:before="400" w:after="200"/>
        <w:ind w:left="360" w:firstLine="360"/>
        <w:rPr>
          <w:rFonts w:ascii="Arial" w:eastAsia="Arial" w:hAnsi="Arial" w:cs="Arial"/>
        </w:rPr>
      </w:pPr>
      <w:bookmarkStart w:id="10" w:name="_PAR__10_2a0f3f87_3239_4d29_8c6a_bc868fc"/>
      <w:bookmarkEnd w:id="9"/>
      <w:r>
        <w:rPr>
          <w:rFonts w:ascii="Arial" w:eastAsia="Arial" w:hAnsi="Arial" w:cs="Arial"/>
          <w:szCs w:val="22"/>
        </w:rPr>
        <w:t>COMMITTEE AMENDMENT “      ” to S.P. 763, L.D. 1955, “An Act to Increase Child Care Affordability and Early Childhood Educator Stability”</w:t>
      </w:r>
    </w:p>
    <w:p w:rsidR="006F5D5D" w:rsidP="006F5D5D">
      <w:pPr>
        <w:ind w:left="360" w:firstLine="360"/>
        <w:rPr>
          <w:rFonts w:ascii="Arial" w:eastAsia="Arial" w:hAnsi="Arial" w:cs="Arial"/>
        </w:rPr>
      </w:pPr>
      <w:bookmarkStart w:id="11" w:name="_INSTRUCTION__6d6bb0fd_acbb_4b7e_aa98_9c"/>
      <w:bookmarkStart w:id="12" w:name="_PAR__11_54be6c2b_1926_4e15_957e_66c0d5f"/>
      <w:bookmarkEnd w:id="0"/>
      <w:bookmarkEnd w:id="10"/>
      <w:r>
        <w:rPr>
          <w:rFonts w:ascii="Arial" w:eastAsia="Arial" w:hAnsi="Arial" w:cs="Arial"/>
        </w:rPr>
        <w:t>Amend the bill by striking out the title and substituting the following:</w:t>
      </w:r>
    </w:p>
    <w:p w:rsidR="006F5D5D" w:rsidP="006F5D5D">
      <w:pPr>
        <w:ind w:left="360"/>
        <w:rPr>
          <w:rFonts w:ascii="Arial" w:eastAsia="Arial" w:hAnsi="Arial" w:cs="Arial"/>
        </w:rPr>
      </w:pPr>
      <w:bookmarkStart w:id="13" w:name="_PAR__12_117c8024_06d3_4d1d_89c6_b027779"/>
      <w:bookmarkEnd w:id="12"/>
      <w:r>
        <w:rPr>
          <w:rFonts w:ascii="Arial" w:eastAsia="Arial" w:hAnsi="Arial" w:cs="Arial"/>
          <w:b/>
        </w:rPr>
        <w:t>'An Act to Increase Child Care Affordability'</w:t>
      </w:r>
    </w:p>
    <w:p w:rsidR="006F5D5D" w:rsidP="006F5D5D">
      <w:pPr>
        <w:ind w:left="360" w:firstLine="360"/>
        <w:rPr>
          <w:rFonts w:ascii="Arial" w:eastAsia="Arial" w:hAnsi="Arial" w:cs="Arial"/>
        </w:rPr>
      </w:pPr>
      <w:bookmarkStart w:id="14" w:name="_INSTRUCTION__1f6aa4b7_0603_4db9_8a66_5f"/>
      <w:bookmarkStart w:id="15" w:name="_PAR__13_e166adb3_9596_46aa_a6f1_da8d78e"/>
      <w:bookmarkEnd w:id="11"/>
      <w:bookmarkEnd w:id="13"/>
      <w:r>
        <w:rPr>
          <w:rFonts w:ascii="Arial" w:eastAsia="Arial" w:hAnsi="Arial" w:cs="Arial"/>
        </w:rPr>
        <w:t>Amend the bill by striking out everything after the enacting clause and inserting the following:</w:t>
      </w:r>
    </w:p>
    <w:p w:rsidR="006F5D5D" w:rsidP="006F5D5D">
      <w:pPr>
        <w:ind w:left="360" w:firstLine="360"/>
        <w:rPr>
          <w:rFonts w:ascii="Arial" w:eastAsia="Arial" w:hAnsi="Arial" w:cs="Arial"/>
        </w:rPr>
      </w:pPr>
      <w:bookmarkStart w:id="16" w:name="_PAR__14_8843c170_f277_4641_91fa_2f593b9"/>
      <w:bookmarkEnd w:id="15"/>
      <w:r>
        <w:rPr>
          <w:rFonts w:ascii="Arial" w:eastAsia="Arial" w:hAnsi="Arial" w:cs="Arial"/>
        </w:rPr>
        <w:t>'</w:t>
      </w:r>
      <w:r>
        <w:rPr>
          <w:rFonts w:ascii="Arial" w:eastAsia="Arial" w:hAnsi="Arial" w:cs="Arial"/>
          <w:b/>
          <w:sz w:val="24"/>
        </w:rPr>
        <w:t>Sec. 1.  22 MRSA §3731-A, sub-§3</w:t>
      </w:r>
      <w:r>
        <w:rPr>
          <w:rFonts w:ascii="Arial" w:eastAsia="Arial" w:hAnsi="Arial" w:cs="Arial"/>
        </w:rPr>
        <w:t xml:space="preserve"> is enacted to read:</w:t>
      </w:r>
    </w:p>
    <w:p w:rsidR="006F5D5D" w:rsidP="006F5D5D">
      <w:pPr>
        <w:ind w:left="360" w:firstLine="360"/>
        <w:rPr>
          <w:rFonts w:ascii="Arial" w:eastAsia="Arial" w:hAnsi="Arial" w:cs="Arial"/>
        </w:rPr>
      </w:pPr>
      <w:bookmarkStart w:id="17" w:name="_PAR__15_2b0bf32a_69e9_4eaa_8e55_bddcd35"/>
      <w:bookmarkEnd w:id="16"/>
      <w:r>
        <w:rPr>
          <w:rFonts w:ascii="Arial" w:eastAsia="Arial" w:hAnsi="Arial" w:cs="Arial"/>
          <w:b/>
          <w:u w:val="single"/>
        </w:rPr>
        <w:t xml:space="preserve">3.  Donations or grants accepted; nonlapsing funds. </w:t>
      </w:r>
      <w:r>
        <w:rPr>
          <w:rFonts w:ascii="Arial" w:eastAsia="Arial" w:hAnsi="Arial" w:cs="Arial"/>
          <w:u w:val="single"/>
        </w:rPr>
        <w:t xml:space="preserve"> The commissioner may accept donations or grants for the Maine Child Care Affordability Program from any source.  Any unexpended funds appropriated or allocated by the Legislature or accepted by the commissioner for the purposes of the Maine Child Care Affordability Program may not lapse and must be carried forward in the same amount for the next fiscal year.</w:t>
      </w:r>
    </w:p>
    <w:p w:rsidR="006F5D5D" w:rsidP="006F5D5D">
      <w:pPr>
        <w:ind w:left="360" w:firstLine="360"/>
        <w:rPr>
          <w:rFonts w:ascii="Arial" w:eastAsia="Arial" w:hAnsi="Arial" w:cs="Arial"/>
        </w:rPr>
      </w:pPr>
      <w:bookmarkStart w:id="18" w:name="_PAR__16_bd34a008_7c8e_413a_bebe_c472da6"/>
      <w:bookmarkEnd w:id="17"/>
      <w:r>
        <w:rPr>
          <w:rFonts w:ascii="Arial" w:eastAsia="Arial" w:hAnsi="Arial" w:cs="Arial"/>
          <w:b/>
          <w:sz w:val="24"/>
        </w:rPr>
        <w:t>Sec. 2.</w:t>
      </w:r>
      <w:r>
        <w:rPr>
          <w:rFonts w:ascii="Arial" w:eastAsia="Arial" w:hAnsi="Arial" w:cs="Arial"/>
        </w:rPr>
        <w:t xml:space="preserve">  </w:t>
      </w:r>
      <w:r w:rsidRPr="00B306F1">
        <w:rPr>
          <w:rFonts w:ascii="Arial" w:eastAsia="Arial" w:hAnsi="Arial" w:cs="Arial"/>
          <w:b/>
          <w:sz w:val="24"/>
          <w:szCs w:val="24"/>
        </w:rPr>
        <w:t>Sustainability of Maine Child Care Affordability Program.</w:t>
      </w:r>
      <w:r w:rsidRPr="00B306F1">
        <w:rPr>
          <w:rFonts w:ascii="Arial" w:eastAsia="Arial" w:hAnsi="Arial" w:cs="Arial"/>
        </w:rPr>
        <w:t xml:space="preserve">  The Department of Health and Human Services shall develop a long-term plan that ensures </w:t>
      </w:r>
      <w:r>
        <w:rPr>
          <w:rFonts w:ascii="Arial" w:eastAsia="Arial" w:hAnsi="Arial" w:cs="Arial"/>
        </w:rPr>
        <w:t xml:space="preserve">the </w:t>
      </w:r>
      <w:r w:rsidRPr="00B306F1">
        <w:rPr>
          <w:rFonts w:ascii="Arial" w:eastAsia="Arial" w:hAnsi="Arial" w:cs="Arial"/>
        </w:rPr>
        <w:t xml:space="preserve">financial sustainability of the Maine Child Care Affordability Program established in the Maine Revised Statutes, Title 22, section 3731-A.  The plan must include the necessary level of funding that must be appropriated in order to serve all families that qualify for the Maine Child Care Affordability Program.  The department shall submit a report with the long-term plan to the joint standing committee </w:t>
      </w:r>
      <w:r>
        <w:rPr>
          <w:rFonts w:ascii="Arial" w:eastAsia="Arial" w:hAnsi="Arial" w:cs="Arial"/>
        </w:rPr>
        <w:t>of the Legislature having jurisdiction over</w:t>
      </w:r>
      <w:r w:rsidRPr="00B306F1">
        <w:rPr>
          <w:rFonts w:ascii="Arial" w:eastAsia="Arial" w:hAnsi="Arial" w:cs="Arial"/>
        </w:rPr>
        <w:t xml:space="preserve"> health and human services </w:t>
      </w:r>
      <w:r>
        <w:rPr>
          <w:rFonts w:ascii="Arial" w:eastAsia="Arial" w:hAnsi="Arial" w:cs="Arial"/>
        </w:rPr>
        <w:t xml:space="preserve">matters </w:t>
      </w:r>
      <w:r w:rsidRPr="00B306F1">
        <w:rPr>
          <w:rFonts w:ascii="Arial" w:eastAsia="Arial" w:hAnsi="Arial" w:cs="Arial"/>
        </w:rPr>
        <w:t>no later than December 15, 2026.  The committee is authorized to report out legislation to the 133rd Legislature</w:t>
      </w:r>
      <w:r>
        <w:rPr>
          <w:rFonts w:ascii="Arial" w:eastAsia="Arial" w:hAnsi="Arial" w:cs="Arial"/>
        </w:rPr>
        <w:t xml:space="preserve"> in 2027</w:t>
      </w:r>
      <w:r w:rsidRPr="00B306F1">
        <w:rPr>
          <w:rFonts w:ascii="Arial" w:eastAsia="Arial" w:hAnsi="Arial" w:cs="Arial"/>
        </w:rPr>
        <w:t>.</w:t>
      </w:r>
    </w:p>
    <w:p w:rsidR="006F5D5D" w:rsidP="006F5D5D">
      <w:pPr>
        <w:ind w:left="360" w:firstLine="360"/>
        <w:rPr>
          <w:rFonts w:ascii="Arial" w:eastAsia="Arial" w:hAnsi="Arial" w:cs="Arial"/>
        </w:rPr>
      </w:pPr>
      <w:bookmarkStart w:id="19" w:name="_PAR__17_1a41bcaa_c5db_4bfa_8233_0a2bf95"/>
      <w:bookmarkEnd w:id="18"/>
      <w:r>
        <w:rPr>
          <w:rFonts w:ascii="Arial" w:eastAsia="Arial" w:hAnsi="Arial" w:cs="Arial"/>
          <w:b/>
          <w:sz w:val="24"/>
        </w:rPr>
        <w:t>Sec. 3.  Appropriations and allocations.</w:t>
      </w:r>
      <w:r>
        <w:rPr>
          <w:rFonts w:ascii="Arial" w:eastAsia="Arial" w:hAnsi="Arial" w:cs="Arial"/>
        </w:rPr>
        <w:t>  The following appropriations and allocations are made.</w:t>
      </w:r>
    </w:p>
    <w:p w:rsidR="006F5D5D" w:rsidP="006F5D5D">
      <w:pPr>
        <w:pStyle w:val="BPSParagraphLeftAlign"/>
        <w:suppressAutoHyphens/>
        <w:ind w:left="360"/>
        <w:rPr>
          <w:rFonts w:ascii="Arial" w:eastAsia="Arial" w:hAnsi="Arial" w:cs="Arial"/>
        </w:rPr>
      </w:pPr>
      <w:bookmarkStart w:id="20" w:name="_PAR__18_41efda21_b352_41eb_8f58_d7d5131"/>
      <w:bookmarkEnd w:id="19"/>
      <w:r>
        <w:rPr>
          <w:rFonts w:ascii="Arial" w:eastAsia="Arial" w:hAnsi="Arial" w:cs="Arial"/>
          <w:b/>
        </w:rPr>
        <w:t>HEALTH AND HUMAN SERVICES, DEPARTMENT OF</w:t>
      </w:r>
    </w:p>
    <w:p w:rsidR="006F5D5D" w:rsidP="006F5D5D">
      <w:pPr>
        <w:pStyle w:val="BPSParagraphLeftAlign"/>
        <w:suppressAutoHyphens/>
        <w:ind w:left="360"/>
        <w:rPr>
          <w:rFonts w:ascii="Arial" w:eastAsia="Arial" w:hAnsi="Arial" w:cs="Arial"/>
        </w:rPr>
      </w:pPr>
      <w:bookmarkStart w:id="21" w:name="_PAR__19_773eadfd_76b2_4814_8b0e_75c7bd1"/>
      <w:bookmarkEnd w:id="20"/>
      <w:r>
        <w:rPr>
          <w:rFonts w:ascii="Arial" w:eastAsia="Arial" w:hAnsi="Arial" w:cs="Arial"/>
          <w:b/>
        </w:rPr>
        <w:t>Child Care Services 0563</w:t>
      </w:r>
    </w:p>
    <w:p w:rsidR="006F5D5D" w:rsidP="006F5D5D">
      <w:pPr>
        <w:ind w:left="360"/>
        <w:rPr>
          <w:rFonts w:ascii="Arial" w:eastAsia="Arial" w:hAnsi="Arial" w:cs="Arial"/>
        </w:rPr>
      </w:pPr>
      <w:bookmarkStart w:id="22" w:name="_PAR__20_a62f5f71_357e_4bbf_9034_d1774cf"/>
      <w:bookmarkEnd w:id="21"/>
      <w:r>
        <w:rPr>
          <w:rFonts w:ascii="Arial" w:eastAsia="Arial" w:hAnsi="Arial" w:cs="Arial"/>
        </w:rPr>
        <w:t>Initiative: Provides ongoing funding for the Maine Child Care Affordability Program.</w:t>
      </w:r>
    </w:p>
    <w:tbl>
      <w:tblPr>
        <w:tblStyle w:val="BPSTable"/>
        <w:tblW w:w="0" w:type="auto"/>
        <w:tblInd w:w="360" w:type="dxa"/>
        <w:tblCellMar>
          <w:left w:w="0" w:type="dxa"/>
          <w:right w:w="0" w:type="dxa"/>
        </w:tblCellMar>
        <w:tblLook w:val="04A0"/>
      </w:tblPr>
      <w:tblGrid>
        <w:gridCol w:w="5009"/>
        <w:gridCol w:w="1463"/>
        <w:gridCol w:w="1463"/>
      </w:tblGrid>
      <w:tr w:rsidTr="006B2FA9">
        <w:tblPrEx>
          <w:tblW w:w="0" w:type="auto"/>
          <w:tblInd w:w="360" w:type="dxa"/>
          <w:tblCellMar>
            <w:left w:w="0" w:type="dxa"/>
            <w:right w:w="0" w:type="dxa"/>
          </w:tblCellMar>
          <w:tblLook w:val="04A0"/>
        </w:tblPrEx>
        <w:tc>
          <w:tcPr>
            <w:tcW w:w="5069" w:type="dxa"/>
          </w:tcPr>
          <w:p w:rsidR="006F5D5D" w:rsidP="006B2FA9">
            <w:pPr>
              <w:spacing w:before="0" w:after="0"/>
              <w:rPr>
                <w:rFonts w:ascii="Arial" w:eastAsia="Arial" w:hAnsi="Arial" w:cs="Arial"/>
              </w:rPr>
            </w:pPr>
            <w:bookmarkStart w:id="23" w:name="_PAGE__2_d7af7216_c131_4554_87d5_3abdc98"/>
            <w:bookmarkStart w:id="24" w:name="_PAR__2_1d3d87c0_519b_43ef_ba9b_492a6b60"/>
            <w:bookmarkStart w:id="25" w:name="_LINE__1_87a11fa2_cebe_4647_9138_bd8162b"/>
            <w:bookmarkEnd w:id="1"/>
            <w:bookmarkEnd w:id="22"/>
            <w:r>
              <w:rPr>
                <w:rFonts w:ascii="Arial" w:eastAsia="Arial" w:hAnsi="Arial" w:cs="Arial"/>
                <w:b/>
              </w:rPr>
              <w:t>GENERAL FUND</w:t>
            </w:r>
            <w:bookmarkEnd w:id="25"/>
          </w:p>
        </w:tc>
        <w:tc>
          <w:tcPr>
            <w:tcW w:w="1469" w:type="dxa"/>
          </w:tcPr>
          <w:p w:rsidR="006F5D5D" w:rsidP="006B2FA9">
            <w:pPr>
              <w:spacing w:before="0" w:after="0"/>
              <w:jc w:val="right"/>
              <w:rPr>
                <w:rFonts w:ascii="Arial" w:eastAsia="Arial" w:hAnsi="Arial" w:cs="Arial"/>
              </w:rPr>
            </w:pPr>
            <w:bookmarkStart w:id="26" w:name="_LINE__1_e08e1e01_3aa2_426c_895c_b7396b3"/>
            <w:r>
              <w:rPr>
                <w:rFonts w:ascii="Arial" w:eastAsia="Arial" w:hAnsi="Arial" w:cs="Arial"/>
                <w:b/>
              </w:rPr>
              <w:t>2025-26</w:t>
            </w:r>
            <w:bookmarkEnd w:id="26"/>
          </w:p>
        </w:tc>
        <w:tc>
          <w:tcPr>
            <w:tcW w:w="1469" w:type="dxa"/>
          </w:tcPr>
          <w:p w:rsidR="006F5D5D" w:rsidP="006B2FA9">
            <w:pPr>
              <w:spacing w:before="0" w:after="0"/>
              <w:jc w:val="right"/>
              <w:rPr>
                <w:rFonts w:ascii="Arial" w:eastAsia="Arial" w:hAnsi="Arial" w:cs="Arial"/>
              </w:rPr>
            </w:pPr>
            <w:bookmarkStart w:id="27" w:name="_LINE__1_e267fdde_700f_4d0d_9a7e_33f7881"/>
            <w:r>
              <w:rPr>
                <w:rFonts w:ascii="Arial" w:eastAsia="Arial" w:hAnsi="Arial" w:cs="Arial"/>
                <w:b/>
              </w:rPr>
              <w:t>2026-27</w:t>
            </w:r>
            <w:bookmarkEnd w:id="27"/>
          </w:p>
        </w:tc>
      </w:tr>
      <w:tr w:rsidTr="006B2FA9">
        <w:tblPrEx>
          <w:tblW w:w="0" w:type="auto"/>
          <w:tblInd w:w="360" w:type="dxa"/>
          <w:tblCellMar>
            <w:left w:w="0" w:type="dxa"/>
            <w:right w:w="0" w:type="dxa"/>
          </w:tblCellMar>
          <w:tblLook w:val="04A0"/>
        </w:tblPrEx>
        <w:tc>
          <w:tcPr>
            <w:tcW w:w="5069" w:type="dxa"/>
          </w:tcPr>
          <w:p w:rsidR="006F5D5D" w:rsidP="006B2FA9">
            <w:pPr>
              <w:spacing w:before="0" w:after="0"/>
              <w:ind w:left="180"/>
              <w:rPr>
                <w:rFonts w:ascii="Arial" w:eastAsia="Arial" w:hAnsi="Arial" w:cs="Arial"/>
              </w:rPr>
            </w:pPr>
            <w:bookmarkStart w:id="28" w:name="_LINE__2_0892b079_add0_4365_957d_b9e6c17"/>
            <w:r>
              <w:rPr>
                <w:rFonts w:ascii="Arial" w:eastAsia="Arial" w:hAnsi="Arial" w:cs="Arial"/>
              </w:rPr>
              <w:t>All Other</w:t>
            </w:r>
            <w:bookmarkEnd w:id="28"/>
          </w:p>
        </w:tc>
        <w:tc>
          <w:tcPr>
            <w:tcW w:w="1469" w:type="dxa"/>
          </w:tcPr>
          <w:p w:rsidR="006F5D5D" w:rsidP="006B2FA9">
            <w:pPr>
              <w:spacing w:before="0" w:after="0"/>
              <w:jc w:val="right"/>
              <w:rPr>
                <w:rFonts w:ascii="Arial" w:eastAsia="Arial" w:hAnsi="Arial" w:cs="Arial"/>
              </w:rPr>
            </w:pPr>
            <w:bookmarkStart w:id="29" w:name="_LINE__2_f30514ad_029f_4459_ad89_f65d47f"/>
            <w:r>
              <w:rPr>
                <w:rFonts w:ascii="Arial" w:eastAsia="Arial" w:hAnsi="Arial" w:cs="Arial"/>
              </w:rPr>
              <w:t>$0</w:t>
            </w:r>
            <w:bookmarkEnd w:id="29"/>
          </w:p>
        </w:tc>
        <w:tc>
          <w:tcPr>
            <w:tcW w:w="1469" w:type="dxa"/>
          </w:tcPr>
          <w:p w:rsidR="006F5D5D" w:rsidP="006B2FA9">
            <w:pPr>
              <w:spacing w:before="0" w:after="0"/>
              <w:jc w:val="right"/>
              <w:rPr>
                <w:rFonts w:ascii="Arial" w:eastAsia="Arial" w:hAnsi="Arial" w:cs="Arial"/>
              </w:rPr>
            </w:pPr>
            <w:bookmarkStart w:id="30" w:name="_LINE__2_b41d965e_9dd8_4d46_b335_69982c1"/>
            <w:r>
              <w:rPr>
                <w:rFonts w:ascii="Arial" w:eastAsia="Arial" w:hAnsi="Arial" w:cs="Arial"/>
              </w:rPr>
              <w:t>$15,000,000</w:t>
            </w:r>
            <w:bookmarkEnd w:id="30"/>
          </w:p>
        </w:tc>
      </w:tr>
      <w:tr w:rsidTr="006B2FA9">
        <w:tblPrEx>
          <w:tblW w:w="0" w:type="auto"/>
          <w:tblInd w:w="360" w:type="dxa"/>
          <w:tblCellMar>
            <w:left w:w="0" w:type="dxa"/>
            <w:right w:w="0" w:type="dxa"/>
          </w:tblCellMar>
          <w:tblLook w:val="04A0"/>
        </w:tblPrEx>
        <w:tc>
          <w:tcPr>
            <w:tcW w:w="5069" w:type="dxa"/>
          </w:tcPr>
          <w:p w:rsidR="006F5D5D" w:rsidP="006B2FA9">
            <w:pPr>
              <w:spacing w:before="0" w:after="0"/>
              <w:rPr>
                <w:rFonts w:ascii="Arial" w:eastAsia="Arial" w:hAnsi="Arial" w:cs="Arial"/>
              </w:rPr>
            </w:pPr>
            <w:bookmarkStart w:id="31" w:name="_LINE__3_9b7d3153_b442_4341_a74d_0023562"/>
            <w:r>
              <w:rPr>
                <w:rFonts w:ascii="Arial" w:eastAsia="Arial" w:hAnsi="Arial" w:cs="Arial"/>
              </w:rPr>
              <w:t xml:space="preserve"> </w:t>
            </w:r>
            <w:bookmarkEnd w:id="31"/>
          </w:p>
        </w:tc>
        <w:tc>
          <w:tcPr>
            <w:tcW w:w="1469" w:type="dxa"/>
          </w:tcPr>
          <w:p w:rsidR="006F5D5D" w:rsidP="006B2FA9">
            <w:pPr>
              <w:spacing w:before="0" w:after="0"/>
              <w:jc w:val="right"/>
              <w:rPr>
                <w:rFonts w:ascii="Arial" w:eastAsia="Arial" w:hAnsi="Arial" w:cs="Arial"/>
              </w:rPr>
            </w:pPr>
            <w:bookmarkStart w:id="32" w:name="_LINE__3_6f21c7a9_ce0f_4122_89b3_0aacd96"/>
            <w:r>
              <w:rPr>
                <w:rFonts w:ascii="Arial" w:eastAsia="Arial" w:hAnsi="Arial" w:cs="Arial"/>
              </w:rPr>
              <w:t>__________</w:t>
            </w:r>
            <w:bookmarkEnd w:id="32"/>
          </w:p>
        </w:tc>
        <w:tc>
          <w:tcPr>
            <w:tcW w:w="1469" w:type="dxa"/>
          </w:tcPr>
          <w:p w:rsidR="006F5D5D" w:rsidP="006B2FA9">
            <w:pPr>
              <w:spacing w:before="0" w:after="0"/>
              <w:jc w:val="right"/>
              <w:rPr>
                <w:rFonts w:ascii="Arial" w:eastAsia="Arial" w:hAnsi="Arial" w:cs="Arial"/>
              </w:rPr>
            </w:pPr>
            <w:bookmarkStart w:id="33" w:name="_LINE__3_6fee640e_ab8d_4b9d_acef_c42ba9e"/>
            <w:r>
              <w:rPr>
                <w:rFonts w:ascii="Arial" w:eastAsia="Arial" w:hAnsi="Arial" w:cs="Arial"/>
              </w:rPr>
              <w:t>__________</w:t>
            </w:r>
            <w:bookmarkEnd w:id="33"/>
          </w:p>
        </w:tc>
      </w:tr>
      <w:tr w:rsidTr="006B2FA9">
        <w:tblPrEx>
          <w:tblW w:w="0" w:type="auto"/>
          <w:tblInd w:w="360" w:type="dxa"/>
          <w:tblCellMar>
            <w:left w:w="0" w:type="dxa"/>
            <w:right w:w="0" w:type="dxa"/>
          </w:tblCellMar>
          <w:tblLook w:val="04A0"/>
        </w:tblPrEx>
        <w:tc>
          <w:tcPr>
            <w:tcW w:w="5069" w:type="dxa"/>
          </w:tcPr>
          <w:p w:rsidR="006F5D5D" w:rsidP="006B2FA9">
            <w:pPr>
              <w:spacing w:before="0" w:after="0"/>
              <w:rPr>
                <w:rFonts w:ascii="Arial" w:eastAsia="Arial" w:hAnsi="Arial" w:cs="Arial"/>
              </w:rPr>
            </w:pPr>
            <w:bookmarkStart w:id="34" w:name="_LINE__4_e8832f02_a2ac_48fd_ba3d_9312fbe"/>
            <w:r>
              <w:rPr>
                <w:rFonts w:ascii="Arial" w:eastAsia="Arial" w:hAnsi="Arial" w:cs="Arial"/>
              </w:rPr>
              <w:t>GENERAL FUND TOTAL</w:t>
            </w:r>
            <w:bookmarkEnd w:id="34"/>
          </w:p>
        </w:tc>
        <w:tc>
          <w:tcPr>
            <w:tcW w:w="1469" w:type="dxa"/>
          </w:tcPr>
          <w:p w:rsidR="006F5D5D" w:rsidP="006B2FA9">
            <w:pPr>
              <w:spacing w:before="0" w:after="0"/>
              <w:jc w:val="right"/>
              <w:rPr>
                <w:rFonts w:ascii="Arial" w:eastAsia="Arial" w:hAnsi="Arial" w:cs="Arial"/>
              </w:rPr>
            </w:pPr>
            <w:bookmarkStart w:id="35" w:name="_LINE__4_fcc09d86_9ea9_4b55_a79d_2020f0b"/>
            <w:r>
              <w:rPr>
                <w:rFonts w:ascii="Arial" w:eastAsia="Arial" w:hAnsi="Arial" w:cs="Arial"/>
              </w:rPr>
              <w:t>$0</w:t>
            </w:r>
            <w:bookmarkEnd w:id="35"/>
          </w:p>
        </w:tc>
        <w:tc>
          <w:tcPr>
            <w:tcW w:w="1469" w:type="dxa"/>
          </w:tcPr>
          <w:p w:rsidR="006F5D5D" w:rsidP="006B2FA9">
            <w:pPr>
              <w:spacing w:before="0" w:after="0"/>
              <w:jc w:val="right"/>
              <w:rPr>
                <w:rFonts w:ascii="Arial" w:eastAsia="Arial" w:hAnsi="Arial" w:cs="Arial"/>
              </w:rPr>
            </w:pPr>
            <w:bookmarkStart w:id="36" w:name="_LINE__4_dd1b6123_b355_4977_aae5_5cb7f98"/>
            <w:r>
              <w:rPr>
                <w:rFonts w:ascii="Arial" w:eastAsia="Arial" w:hAnsi="Arial" w:cs="Arial"/>
              </w:rPr>
              <w:t>$15,000,000</w:t>
            </w:r>
            <w:bookmarkEnd w:id="36"/>
          </w:p>
        </w:tc>
      </w:tr>
    </w:tbl>
    <w:p w:rsidR="006F5D5D" w:rsidP="006F5D5D">
      <w:pPr>
        <w:ind w:left="360"/>
        <w:rPr>
          <w:rFonts w:ascii="Arial" w:eastAsia="Arial" w:hAnsi="Arial" w:cs="Arial"/>
        </w:rPr>
      </w:pPr>
      <w:bookmarkStart w:id="37" w:name="_PAR__3_ae9314f1_5d82_4fb1_bfc5_5bce250f"/>
      <w:bookmarkEnd w:id="24"/>
      <w:r>
        <w:rPr>
          <w:rFonts w:ascii="Arial" w:eastAsia="Arial" w:hAnsi="Arial" w:cs="Arial"/>
        </w:rPr>
        <w:t>'</w:t>
      </w:r>
    </w:p>
    <w:p w:rsidR="006F5D5D" w:rsidP="006F5D5D">
      <w:pPr>
        <w:ind w:left="360" w:firstLine="360"/>
        <w:rPr>
          <w:rFonts w:ascii="Arial" w:eastAsia="Arial" w:hAnsi="Arial" w:cs="Arial"/>
        </w:rPr>
      </w:pPr>
      <w:bookmarkStart w:id="38" w:name="_INSTRUCTION__06b69fc8_639a_43f1_a820_ca"/>
      <w:bookmarkStart w:id="39" w:name="_PAR__4_0b686ea6_2ca7_477e_ba55_a03f8479"/>
      <w:bookmarkEnd w:id="14"/>
      <w:bookmarkEnd w:id="37"/>
      <w:r>
        <w:rPr>
          <w:rFonts w:ascii="Arial" w:eastAsia="Arial" w:hAnsi="Arial" w:cs="Arial"/>
        </w:rPr>
        <w:t>Amend the bill by relettering or renumbering any nonconsecutive Part letter or section number to read consecutively.</w:t>
      </w:r>
    </w:p>
    <w:p w:rsidR="006F5D5D" w:rsidP="006F5D5D">
      <w:pPr>
        <w:keepNext/>
        <w:spacing w:before="240"/>
        <w:ind w:left="360"/>
        <w:jc w:val="center"/>
        <w:rPr>
          <w:rFonts w:ascii="Arial" w:eastAsia="Arial" w:hAnsi="Arial" w:cs="Arial"/>
        </w:rPr>
      </w:pPr>
      <w:bookmarkStart w:id="40" w:name="_SUMMARY__dbb1dba7_b0bb_42c8_a52e_dfc7f2"/>
      <w:bookmarkStart w:id="41" w:name="_PAR__5_8b4006bd_62d9_4183_9b56_c490298a"/>
      <w:bookmarkEnd w:id="38"/>
      <w:bookmarkEnd w:id="39"/>
      <w:r>
        <w:rPr>
          <w:rFonts w:ascii="Arial" w:eastAsia="Arial" w:hAnsi="Arial" w:cs="Arial"/>
          <w:b/>
          <w:sz w:val="24"/>
        </w:rPr>
        <w:t>SUMMARY</w:t>
      </w:r>
    </w:p>
    <w:p w:rsidR="006F5D5D" w:rsidP="006F5D5D">
      <w:pPr>
        <w:ind w:left="360" w:firstLine="360"/>
        <w:rPr>
          <w:rFonts w:ascii="Arial" w:eastAsia="Arial" w:hAnsi="Arial" w:cs="Arial"/>
        </w:rPr>
      </w:pPr>
      <w:bookmarkStart w:id="42" w:name="_PAR__6_c44cd7ed_b6b4_4f84_ac25_0261ae75"/>
      <w:bookmarkEnd w:id="41"/>
      <w:r>
        <w:rPr>
          <w:rFonts w:ascii="Arial" w:eastAsia="Arial" w:hAnsi="Arial" w:cs="Arial"/>
        </w:rPr>
        <w:t xml:space="preserve">This amendment, which is the majority report of the committee, replaces the bill and changes the title and does the following. </w:t>
      </w:r>
    </w:p>
    <w:p w:rsidR="006F5D5D" w:rsidP="006F5D5D">
      <w:pPr>
        <w:ind w:left="360" w:firstLine="360"/>
        <w:rPr>
          <w:rFonts w:ascii="Arial" w:eastAsia="Arial" w:hAnsi="Arial" w:cs="Arial"/>
        </w:rPr>
      </w:pPr>
      <w:bookmarkStart w:id="43" w:name="_PAR__7_0a4328e0_0348_40ea_9ba9_834d286e"/>
      <w:bookmarkEnd w:id="42"/>
      <w:r>
        <w:rPr>
          <w:rFonts w:ascii="Arial" w:eastAsia="Arial" w:hAnsi="Arial" w:cs="Arial"/>
        </w:rPr>
        <w:t>1.  It retains the provision of the bill that requires the Department of Health and Human Services to develop a long-term plan for the financial sustainability of the Maine Child Care Affordability Program but changes the date the department must submit the plan to the Legislature to no later than December 15, 2026.</w:t>
      </w:r>
    </w:p>
    <w:p w:rsidR="006F5D5D" w:rsidP="006F5D5D">
      <w:pPr>
        <w:ind w:left="360" w:firstLine="360"/>
        <w:rPr>
          <w:rFonts w:ascii="Arial" w:eastAsia="Arial" w:hAnsi="Arial" w:cs="Arial"/>
        </w:rPr>
      </w:pPr>
      <w:bookmarkStart w:id="44" w:name="_PAR__8_2958ca02_cf72_4d5b_b1be_e90cf9e1"/>
      <w:bookmarkEnd w:id="43"/>
      <w:r>
        <w:rPr>
          <w:rFonts w:ascii="Arial" w:eastAsia="Arial" w:hAnsi="Arial" w:cs="Arial"/>
        </w:rPr>
        <w:t>2.  It allows the Commissioner of Health and Human Services to accept donations or grants for the program from any source.</w:t>
      </w:r>
    </w:p>
    <w:p w:rsidR="006F5D5D" w:rsidP="006F5D5D">
      <w:pPr>
        <w:ind w:left="360" w:firstLine="360"/>
        <w:rPr>
          <w:rFonts w:ascii="Arial" w:eastAsia="Arial" w:hAnsi="Arial" w:cs="Arial"/>
        </w:rPr>
      </w:pPr>
      <w:bookmarkStart w:id="45" w:name="_PAR__9_3d8fc1a3_0651_40ad_93c2_b49fe88d"/>
      <w:bookmarkEnd w:id="44"/>
      <w:r>
        <w:rPr>
          <w:rFonts w:ascii="Arial" w:eastAsia="Arial" w:hAnsi="Arial" w:cs="Arial"/>
        </w:rPr>
        <w:t>3.  It clarifies that funds to support the program are nonlapsing.</w:t>
      </w:r>
    </w:p>
    <w:p w:rsidR="006F5D5D" w:rsidP="006F5D5D">
      <w:pPr>
        <w:ind w:left="360" w:firstLine="360"/>
        <w:rPr>
          <w:rFonts w:ascii="Arial" w:eastAsia="Arial" w:hAnsi="Arial" w:cs="Arial"/>
        </w:rPr>
      </w:pPr>
      <w:bookmarkStart w:id="46" w:name="_PAR__10_ad8ca2c0_818e_486d_a5b2_c82b09b"/>
      <w:bookmarkEnd w:id="45"/>
      <w:r>
        <w:rPr>
          <w:rFonts w:ascii="Arial" w:eastAsia="Arial" w:hAnsi="Arial" w:cs="Arial"/>
        </w:rPr>
        <w:t xml:space="preserve">4.  It requires ongoing funding of $15,000,000 in fiscal year 2026-27 to fund the program. </w:t>
      </w:r>
    </w:p>
    <w:p w:rsidR="006F5D5D" w:rsidP="006F5D5D">
      <w:pPr>
        <w:keepNext/>
        <w:ind w:left="360" w:firstLine="360"/>
        <w:rPr>
          <w:rFonts w:ascii="Arial" w:eastAsia="Arial" w:hAnsi="Arial" w:cs="Arial"/>
        </w:rPr>
      </w:pPr>
      <w:bookmarkStart w:id="47" w:name="_PAR__11_b9ba3e31_2886_4a7d_aaaf_66f1b67"/>
      <w:bookmarkEnd w:id="46"/>
      <w:r>
        <w:rPr>
          <w:rFonts w:ascii="Arial" w:eastAsia="Arial" w:hAnsi="Arial" w:cs="Arial"/>
        </w:rPr>
        <w:t>5.  It includes an appropriations and allocations section.</w:t>
      </w:r>
    </w:p>
    <w:p w:rsidR="006F5D5D" w:rsidP="006F5D5D">
      <w:pPr>
        <w:keepNext/>
        <w:spacing w:before="60" w:after="60"/>
        <w:ind w:left="360"/>
        <w:jc w:val="center"/>
        <w:rPr>
          <w:rFonts w:ascii="Arial" w:eastAsia="Arial" w:hAnsi="Arial" w:cs="Arial"/>
        </w:rPr>
      </w:pPr>
      <w:bookmarkStart w:id="48" w:name="_FISCAL_NOTE_REQUIRED__b9ca0191_8c65_411"/>
      <w:bookmarkStart w:id="49" w:name="_PAR__12_4783aead_9107_43db_a7b6_a6dd240"/>
      <w:bookmarkEnd w:id="47"/>
      <w:r>
        <w:rPr>
          <w:rFonts w:ascii="Arial" w:eastAsia="Arial" w:hAnsi="Arial" w:cs="Arial"/>
          <w:b/>
        </w:rPr>
        <w:t>FISCAL NOTE REQUIRED</w:t>
      </w:r>
    </w:p>
    <w:p w:rsidR="00000000" w:rsidRPr="006F5D5D" w:rsidP="006F5D5D">
      <w:pPr>
        <w:spacing w:before="60" w:after="60"/>
        <w:ind w:left="360"/>
        <w:jc w:val="center"/>
        <w:rPr>
          <w:rFonts w:ascii="Arial" w:eastAsia="Arial" w:hAnsi="Arial" w:cs="Arial"/>
          <w:b/>
        </w:rPr>
      </w:pPr>
      <w:bookmarkStart w:id="50" w:name="_PAR__13_48e28c12_1666_48aa_938d_6f074f4"/>
      <w:bookmarkEnd w:id="49"/>
      <w:r>
        <w:rPr>
          <w:rFonts w:ascii="Arial" w:eastAsia="Arial" w:hAnsi="Arial" w:cs="Arial"/>
          <w:b/>
        </w:rPr>
        <w:t>(See attached)</w:t>
      </w:r>
      <w:bookmarkEnd w:id="23"/>
      <w:bookmarkEnd w:id="40"/>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LR2206,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Child Care Affordability</w:t>
    </w:r>
  </w:p>
  <w:p>
    <w:pPr>
      <w:suppressLineNumbers/>
      <w:spacing w:before="0" w:after="0"/>
      <w:jc w:val="center"/>
      <w:rPr>
        <w:rFonts w:ascii="Arial" w:eastAsia="Arial" w:hAnsi="Arial" w:cs="Arial"/>
      </w:rPr>
    </w:pPr>
    <w:r>
      <w:rPr>
        <w:rFonts w:ascii="Arial" w:eastAsia="Arial" w:hAnsi="Arial" w:cs="Arial"/>
        <w:sz w:val="22"/>
      </w:rPr>
      <w:t>L.D. 1955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B2FA9"/>
    <w:rsid w:val="006D40C3"/>
    <w:rsid w:val="006F5D5D"/>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306F1"/>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