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Relating to Noncompete Agreements Between Employers and Health Care Practitioners</w:t>
      </w:r>
    </w:p>
    <w:p w:rsidR="002A569C" w:rsidP="002A569C">
      <w:pPr>
        <w:spacing w:after="240"/>
        <w:ind w:left="360"/>
        <w:jc w:val="right"/>
        <w:rPr>
          <w:rFonts w:ascii="Arial" w:eastAsia="Arial" w:hAnsi="Arial" w:cs="Arial"/>
          <w:caps/>
        </w:rPr>
      </w:pPr>
      <w:bookmarkStart w:id="0" w:name="_AMEND_TITLE__8203031e_d85e_4c4f_8486_64"/>
      <w:bookmarkStart w:id="1" w:name="_PAGE__1_11d37765_ffc3_4846_9b24_66ab46e"/>
      <w:bookmarkStart w:id="2" w:name="_PAR__2_39bd9a6c_bc57_4262_9860_b73effec"/>
      <w:r>
        <w:rPr>
          <w:rFonts w:ascii="Arial" w:eastAsia="Arial" w:hAnsi="Arial" w:cs="Arial"/>
          <w:caps/>
        </w:rPr>
        <w:t>L.D. 2200</w:t>
      </w:r>
    </w:p>
    <w:p w:rsidR="002A569C" w:rsidP="002A569C">
      <w:pPr>
        <w:tabs>
          <w:tab w:val="right" w:pos="8928"/>
        </w:tabs>
        <w:spacing w:after="360"/>
        <w:ind w:left="360"/>
        <w:rPr>
          <w:rFonts w:ascii="Arial" w:eastAsia="Arial" w:hAnsi="Arial" w:cs="Arial"/>
        </w:rPr>
      </w:pPr>
      <w:bookmarkStart w:id="3" w:name="_PAR__3_ef8d0ab7_1e3e_4d70_b313_5147a247"/>
      <w:bookmarkEnd w:id="2"/>
      <w:r>
        <w:rPr>
          <w:rFonts w:ascii="Arial" w:eastAsia="Arial" w:hAnsi="Arial" w:cs="Arial"/>
        </w:rPr>
        <w:t>Date:</w:t>
      </w:r>
      <w:r>
        <w:rPr>
          <w:rFonts w:ascii="Arial" w:eastAsia="Arial" w:hAnsi="Arial" w:cs="Arial"/>
        </w:rPr>
        <w:tab/>
        <w:t>(Filing No. S-         )</w:t>
      </w:r>
    </w:p>
    <w:p w:rsidR="002A569C" w:rsidP="002A569C">
      <w:pPr>
        <w:spacing w:before="60" w:after="60"/>
        <w:ind w:left="720"/>
        <w:rPr>
          <w:rFonts w:ascii="Arial" w:eastAsia="Arial" w:hAnsi="Arial" w:cs="Arial"/>
        </w:rPr>
      </w:pPr>
      <w:bookmarkStart w:id="4" w:name="_PAR__4_8755e204_f51e_4817_b5dc_f32fefd3"/>
      <w:bookmarkEnd w:id="3"/>
      <w:r>
        <w:rPr>
          <w:rFonts w:ascii="Arial" w:eastAsia="Arial" w:hAnsi="Arial" w:cs="Arial"/>
        </w:rPr>
        <w:t>Reproduced and distributed under the direction of the Secretary of the Senate.</w:t>
      </w:r>
    </w:p>
    <w:p w:rsidR="002A569C" w:rsidP="002A569C">
      <w:pPr>
        <w:spacing w:before="160" w:after="0"/>
        <w:ind w:left="360"/>
        <w:jc w:val="center"/>
        <w:outlineLvl w:val="0"/>
        <w:rPr>
          <w:rFonts w:ascii="Arial" w:eastAsia="Arial" w:hAnsi="Arial" w:cs="Arial"/>
          <w:b/>
          <w:caps/>
          <w:sz w:val="24"/>
          <w:szCs w:val="32"/>
        </w:rPr>
      </w:pPr>
      <w:bookmarkStart w:id="5" w:name="_PAR__5_fbc9f953_fb3c_43b2_964b_b893b5d1"/>
      <w:bookmarkEnd w:id="4"/>
      <w:r>
        <w:rPr>
          <w:rFonts w:ascii="Arial" w:eastAsia="Arial" w:hAnsi="Arial" w:cs="Arial"/>
          <w:b/>
          <w:caps/>
          <w:sz w:val="24"/>
          <w:szCs w:val="32"/>
        </w:rPr>
        <w:t>STATE OF MAINE</w:t>
      </w:r>
    </w:p>
    <w:p w:rsidR="002A569C" w:rsidP="002A569C">
      <w:pPr>
        <w:spacing w:after="0"/>
        <w:ind w:left="360"/>
        <w:jc w:val="center"/>
        <w:outlineLvl w:val="0"/>
        <w:rPr>
          <w:rFonts w:ascii="Arial" w:eastAsia="Arial" w:hAnsi="Arial" w:cs="Arial"/>
          <w:b/>
          <w:caps/>
          <w:sz w:val="24"/>
          <w:szCs w:val="32"/>
        </w:rPr>
      </w:pPr>
      <w:bookmarkStart w:id="6" w:name="_PAR__6_63973c4f_7aad_414a_a10c_1c87196b"/>
      <w:bookmarkEnd w:id="5"/>
      <w:r>
        <w:rPr>
          <w:rFonts w:ascii="Arial" w:eastAsia="Arial" w:hAnsi="Arial" w:cs="Arial"/>
          <w:b/>
          <w:caps/>
          <w:sz w:val="24"/>
          <w:szCs w:val="32"/>
        </w:rPr>
        <w:t>SENATE</w:t>
      </w:r>
    </w:p>
    <w:p w:rsidR="002A569C" w:rsidP="002A569C">
      <w:pPr>
        <w:spacing w:after="0"/>
        <w:ind w:left="360"/>
        <w:jc w:val="center"/>
        <w:outlineLvl w:val="0"/>
        <w:rPr>
          <w:rFonts w:ascii="Arial" w:eastAsia="Arial" w:hAnsi="Arial" w:cs="Arial"/>
          <w:b/>
          <w:caps/>
          <w:sz w:val="24"/>
          <w:szCs w:val="32"/>
        </w:rPr>
      </w:pPr>
      <w:bookmarkStart w:id="7" w:name="_PAR__7_9ac2e6fb_fade_4643_b27f_43b96205"/>
      <w:bookmarkEnd w:id="6"/>
      <w:r>
        <w:rPr>
          <w:rFonts w:ascii="Arial" w:eastAsia="Arial" w:hAnsi="Arial" w:cs="Arial"/>
          <w:b/>
          <w:caps/>
          <w:sz w:val="24"/>
          <w:szCs w:val="32"/>
        </w:rPr>
        <w:t>132nd Legislature</w:t>
      </w:r>
    </w:p>
    <w:p w:rsidR="002A569C" w:rsidP="002A569C">
      <w:pPr>
        <w:spacing w:after="0"/>
        <w:ind w:left="360"/>
        <w:jc w:val="center"/>
        <w:outlineLvl w:val="0"/>
        <w:rPr>
          <w:rFonts w:ascii="Arial" w:eastAsia="Arial" w:hAnsi="Arial" w:cs="Arial"/>
          <w:b/>
          <w:caps/>
          <w:sz w:val="24"/>
          <w:szCs w:val="32"/>
        </w:rPr>
      </w:pPr>
      <w:bookmarkStart w:id="8" w:name="_PAR__8_68d9e850_74fc_45fb_b0d9_a4a2e988"/>
      <w:bookmarkEnd w:id="7"/>
      <w:r>
        <w:rPr>
          <w:rFonts w:ascii="Arial" w:eastAsia="Arial" w:hAnsi="Arial" w:cs="Arial"/>
          <w:b/>
          <w:caps/>
          <w:sz w:val="24"/>
          <w:szCs w:val="32"/>
        </w:rPr>
        <w:t>Second Regular Session</w:t>
      </w:r>
    </w:p>
    <w:p w:rsidR="002A569C" w:rsidP="002A569C">
      <w:pPr>
        <w:spacing w:before="400" w:after="200"/>
        <w:ind w:left="360" w:firstLine="360"/>
        <w:rPr>
          <w:rFonts w:ascii="Arial" w:eastAsia="Arial" w:hAnsi="Arial" w:cs="Arial"/>
        </w:rPr>
      </w:pPr>
      <w:bookmarkStart w:id="9" w:name="_PAR__9_48078ed3_51be_49ef_80ae_851d20cf"/>
      <w:bookmarkEnd w:id="8"/>
      <w:r>
        <w:rPr>
          <w:rFonts w:ascii="Arial" w:eastAsia="Arial" w:hAnsi="Arial" w:cs="Arial"/>
          <w:szCs w:val="22"/>
        </w:rPr>
        <w:t>SENATE AMENDMENT “      ” to COMMITTEE AMENDMENT “A” to H.P. 1479, L.D. 2200, “An Act to Prohibit Noncompete Clauses for Health Care Professionals as Recommended by the Commission to Evaluate the Scope of Regulatory Review and Oversight over Health Care Transactions That Impact the Delivery of Health Care Services in the State  ”</w:t>
      </w:r>
    </w:p>
    <w:p w:rsidR="002A569C" w:rsidP="002A569C">
      <w:pPr>
        <w:ind w:left="360" w:firstLine="360"/>
        <w:rPr>
          <w:rFonts w:ascii="Arial" w:eastAsia="Arial" w:hAnsi="Arial" w:cs="Arial"/>
        </w:rPr>
      </w:pPr>
      <w:bookmarkStart w:id="10" w:name="_INSTRUCTION__60464d6d_e3e6_43c0_b2ce_2c"/>
      <w:bookmarkStart w:id="11" w:name="_PAR__10_c903c505_e076_420a_968f_0e17699"/>
      <w:bookmarkEnd w:id="0"/>
      <w:bookmarkEnd w:id="9"/>
      <w:r>
        <w:rPr>
          <w:rFonts w:ascii="Arial" w:eastAsia="Arial" w:hAnsi="Arial" w:cs="Arial"/>
        </w:rPr>
        <w:t>Amend the amendment by inserting after section 2 the following:</w:t>
      </w:r>
    </w:p>
    <w:p w:rsidR="002A569C" w:rsidP="002A569C">
      <w:pPr>
        <w:ind w:left="360" w:firstLine="360"/>
        <w:rPr>
          <w:rFonts w:ascii="Arial" w:eastAsia="Arial" w:hAnsi="Arial" w:cs="Arial"/>
        </w:rPr>
      </w:pPr>
      <w:bookmarkStart w:id="12" w:name="_PAR__11_22140e8b_ee87_4f2c_80d2_fff821b"/>
      <w:bookmarkEnd w:id="11"/>
      <w:r>
        <w:rPr>
          <w:rFonts w:ascii="Arial" w:eastAsia="Arial" w:hAnsi="Arial" w:cs="Arial"/>
        </w:rPr>
        <w:t>'</w:t>
      </w:r>
      <w:r>
        <w:rPr>
          <w:rFonts w:ascii="Arial" w:eastAsia="Arial" w:hAnsi="Arial" w:cs="Arial"/>
          <w:b/>
          <w:sz w:val="24"/>
        </w:rPr>
        <w:t>Sec. 3.  26 MRSA §599-A, sub-§3, ¶C</w:t>
      </w:r>
      <w:r>
        <w:rPr>
          <w:rFonts w:ascii="Arial" w:eastAsia="Arial" w:hAnsi="Arial" w:cs="Arial"/>
        </w:rPr>
        <w:t xml:space="preserve"> is enacted to read:</w:t>
      </w:r>
    </w:p>
    <w:p w:rsidR="002A569C" w:rsidP="002A569C">
      <w:pPr>
        <w:ind w:left="720"/>
        <w:rPr>
          <w:rFonts w:ascii="Arial" w:eastAsia="Arial" w:hAnsi="Arial" w:cs="Arial"/>
        </w:rPr>
      </w:pPr>
      <w:bookmarkStart w:id="13" w:name="_PAR__12_613d48bc_e1d4_4325_825a_c8d9683"/>
      <w:bookmarkEnd w:id="12"/>
      <w:r>
        <w:rPr>
          <w:rFonts w:ascii="Arial" w:eastAsia="Arial" w:hAnsi="Arial" w:cs="Arial"/>
          <w:u w:val="single"/>
        </w:rPr>
        <w:t>C.  The employee is a health care practitioner who is employed by an entity in which that health care practitioner does not have an ownership interest.</w:t>
      </w:r>
      <w:r>
        <w:rPr>
          <w:rFonts w:ascii="Arial" w:eastAsia="Arial" w:hAnsi="Arial" w:cs="Arial"/>
        </w:rPr>
        <w:t>'</w:t>
      </w:r>
    </w:p>
    <w:p w:rsidR="002A569C" w:rsidP="002A569C">
      <w:pPr>
        <w:ind w:left="360" w:firstLine="360"/>
        <w:rPr>
          <w:rFonts w:ascii="Arial" w:eastAsia="Arial" w:hAnsi="Arial" w:cs="Arial"/>
        </w:rPr>
      </w:pPr>
      <w:bookmarkStart w:id="14" w:name="_INSTRUCTION__8b89a432_12d8_4b23_ba91_58"/>
      <w:bookmarkStart w:id="15" w:name="_PAR__13_6911c439_7660_439e_8106_73dc07a"/>
      <w:bookmarkEnd w:id="10"/>
      <w:bookmarkEnd w:id="13"/>
      <w:r>
        <w:rPr>
          <w:rFonts w:ascii="Arial" w:eastAsia="Arial" w:hAnsi="Arial" w:cs="Arial"/>
        </w:rPr>
        <w:t>Amend the amendment by relettering or renumbering any nonconsecutive Part letter or section number to read consecutively.</w:t>
      </w:r>
    </w:p>
    <w:p w:rsidR="002A569C" w:rsidP="002A569C">
      <w:pPr>
        <w:keepNext/>
        <w:spacing w:before="240"/>
        <w:ind w:left="360"/>
        <w:jc w:val="center"/>
        <w:rPr>
          <w:rFonts w:ascii="Arial" w:eastAsia="Arial" w:hAnsi="Arial" w:cs="Arial"/>
        </w:rPr>
      </w:pPr>
      <w:bookmarkStart w:id="16" w:name="_SUMMARY__839d732a_eed4_42e0_9ddd_6c59a9"/>
      <w:bookmarkStart w:id="17" w:name="_PAR__14_ad3f1684_da62_49ab_97a5_f12b9e1"/>
      <w:bookmarkEnd w:id="14"/>
      <w:bookmarkEnd w:id="15"/>
      <w:r>
        <w:rPr>
          <w:rFonts w:ascii="Arial" w:eastAsia="Arial" w:hAnsi="Arial" w:cs="Arial"/>
          <w:b/>
          <w:sz w:val="24"/>
        </w:rPr>
        <w:t>SUMMARY</w:t>
      </w:r>
    </w:p>
    <w:p w:rsidR="002A569C" w:rsidP="002A569C">
      <w:pPr>
        <w:keepNext/>
        <w:ind w:left="360" w:firstLine="360"/>
        <w:rPr>
          <w:rFonts w:ascii="Arial" w:eastAsia="Arial" w:hAnsi="Arial" w:cs="Arial"/>
        </w:rPr>
      </w:pPr>
      <w:bookmarkStart w:id="18" w:name="_PAR__15_1d5b924d_d116_48ff_bb11_9533dcf"/>
      <w:bookmarkEnd w:id="17"/>
      <w:r w:rsidRPr="004E07EE">
        <w:rPr>
          <w:rFonts w:ascii="Arial" w:eastAsia="Arial" w:hAnsi="Arial" w:cs="Arial"/>
        </w:rPr>
        <w:t xml:space="preserve">This amendment prohibits an employer from requiring </w:t>
      </w:r>
      <w:r>
        <w:rPr>
          <w:rFonts w:ascii="Arial" w:eastAsia="Arial" w:hAnsi="Arial" w:cs="Arial"/>
        </w:rPr>
        <w:t xml:space="preserve">or permitting </w:t>
      </w:r>
      <w:r w:rsidRPr="004E07EE">
        <w:rPr>
          <w:rFonts w:ascii="Arial" w:eastAsia="Arial" w:hAnsi="Arial" w:cs="Arial"/>
        </w:rPr>
        <w:t xml:space="preserve">a health care practitioner </w:t>
      </w:r>
      <w:r>
        <w:rPr>
          <w:rFonts w:ascii="Arial" w:eastAsia="Arial" w:hAnsi="Arial" w:cs="Arial"/>
        </w:rPr>
        <w:t>to enter</w:t>
      </w:r>
      <w:r w:rsidRPr="004E07EE">
        <w:rPr>
          <w:rFonts w:ascii="Arial" w:eastAsia="Arial" w:hAnsi="Arial" w:cs="Arial"/>
        </w:rPr>
        <w:t xml:space="preserve"> into a noncompete agreement with that employer if the health care practitioner</w:t>
      </w:r>
      <w:r>
        <w:rPr>
          <w:rFonts w:ascii="Arial" w:eastAsia="Arial" w:hAnsi="Arial" w:cs="Arial"/>
        </w:rPr>
        <w:t xml:space="preserve"> is employed by an entity in which the health care practitioner does not have an ownership interest</w:t>
      </w:r>
      <w:r w:rsidRPr="004E07EE">
        <w:rPr>
          <w:rFonts w:ascii="Arial" w:eastAsia="Arial" w:hAnsi="Arial" w:cs="Arial"/>
        </w:rPr>
        <w:t>.</w:t>
      </w:r>
    </w:p>
    <w:p w:rsidR="002A569C" w:rsidP="002A569C">
      <w:pPr>
        <w:keepNext/>
        <w:spacing w:before="400" w:after="120" w:line="259" w:lineRule="auto"/>
        <w:ind w:left="360"/>
        <w:rPr>
          <w:rFonts w:ascii="Arial" w:eastAsia="Arial" w:hAnsi="Arial" w:cs="Arial"/>
          <w:b/>
        </w:rPr>
      </w:pPr>
      <w:bookmarkStart w:id="19" w:name="_SPONSOR_BLOCK__57a2be82_72fb_4f90_ae80_"/>
      <w:bookmarkStart w:id="20" w:name="_PAR__16_0c02210b_e93c_44b4_8b79_968a1d4"/>
      <w:bookmarkEnd w:id="16"/>
      <w:bookmarkEnd w:id="18"/>
      <w:r>
        <w:rPr>
          <w:rFonts w:ascii="Arial" w:eastAsia="Arial" w:hAnsi="Arial" w:cs="Arial"/>
          <w:b/>
        </w:rPr>
        <w:t>SPONSORED BY: ___________________________________</w:t>
      </w:r>
    </w:p>
    <w:p w:rsidR="002A569C" w:rsidP="002A569C">
      <w:pPr>
        <w:keepNext/>
        <w:spacing w:after="120" w:line="259" w:lineRule="auto"/>
        <w:ind w:left="720"/>
        <w:rPr>
          <w:rFonts w:ascii="Arial" w:eastAsia="Arial" w:hAnsi="Arial" w:cs="Arial"/>
          <w:b/>
        </w:rPr>
      </w:pPr>
      <w:bookmarkStart w:id="21" w:name="_PAR__17_8e1f7491_a1bc_4b20_95fb_df8fcf5"/>
      <w:bookmarkEnd w:id="20"/>
      <w:r>
        <w:rPr>
          <w:rFonts w:ascii="Arial" w:eastAsia="Arial" w:hAnsi="Arial" w:cs="Arial"/>
          <w:b/>
        </w:rPr>
        <w:t>(Senator BAILEY, D.)</w:t>
      </w:r>
    </w:p>
    <w:p w:rsidR="00000000" w:rsidRPr="002A569C" w:rsidP="002A569C">
      <w:pPr>
        <w:spacing w:after="120" w:line="259" w:lineRule="auto"/>
        <w:ind w:left="1080"/>
        <w:rPr>
          <w:rFonts w:ascii="Arial" w:eastAsia="Arial" w:hAnsi="Arial" w:cs="Arial"/>
          <w:b/>
        </w:rPr>
      </w:pPr>
      <w:bookmarkStart w:id="22" w:name="_PAR__18_de099a8c_65db_4ffa_9548_3e6518f"/>
      <w:bookmarkEnd w:id="21"/>
      <w:r>
        <w:rPr>
          <w:rFonts w:ascii="Arial" w:eastAsia="Arial" w:hAnsi="Arial" w:cs="Arial"/>
          <w:b/>
        </w:rPr>
        <w:t>COUNTY: York</w:t>
      </w:r>
      <w:bookmarkEnd w:id="1"/>
      <w:bookmarkEnd w:id="19"/>
      <w:bookmarkEnd w:id="2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LR3026,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Relating to Noncompete Agreements Between Employers and Health Care Practitioners</w:t>
    </w:r>
  </w:p>
  <w:p>
    <w:pPr>
      <w:suppressLineNumbers/>
      <w:spacing w:before="0" w:after="0"/>
      <w:jc w:val="center"/>
      <w:rPr>
        <w:rFonts w:ascii="Arial" w:eastAsia="Arial" w:hAnsi="Arial" w:cs="Arial"/>
      </w:rPr>
    </w:pPr>
    <w:r>
      <w:rPr>
        <w:rFonts w:ascii="Arial" w:eastAsia="Arial" w:hAnsi="Arial" w:cs="Arial"/>
        <w:sz w:val="22"/>
      </w:rPr>
      <w:t>L.D. 2200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A569C"/>
    <w:rsid w:val="002D357F"/>
    <w:rsid w:val="00361F3E"/>
    <w:rsid w:val="003D0121"/>
    <w:rsid w:val="003F2563"/>
    <w:rsid w:val="003F315D"/>
    <w:rsid w:val="00417176"/>
    <w:rsid w:val="00424146"/>
    <w:rsid w:val="004A4378"/>
    <w:rsid w:val="004E07E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150863</ItemId>
    <LRId>77068</LRId>
    <ParentItemId>150335</ParentItemId>
    <LRNumber>3026</LRNumber>
    <LDNumber>2200</LDNumber>
    <PaperNumber>HP1479</PaperNumber>
    <ItemNumber>6</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Health Coverage, Insurance and Financial Services</LeadCommitteeName>
    <LRTitle>An Act Relating to Noncompete Agreements Between Employers and Health Care Practitioners</LRTitle>
    <ItemTitle>An Act Relating to Noncompete Agreements Between Employers and Health Care Practitioners</ItemTitle>
    <OriginalItemTitle>An Act to Prohibit Noncompete Clauses for Health Care Professionals as Recommended by the Commission to Evaluate the Scope of Regulatory Review and Oversight over Health Care Transactions That Impact the Delivery of Health Care Services in the State  </OriginalItemTitle>
    <ParentItemTitle>An Act Relating to Noncompete Agreements Between Employers and Health Care Practitioners</ParentItemTitle>
    <SponsorFirstName>Donna</SponsorFirstName>
    <SponsorLastName>Bailey</SponsorLastName>
    <SponsorChamberPrefix>Sen.</SponsorChamberPrefix>
    <SponsorFrom>York</SponsorFrom>
    <Chamber>S</Chamber>
    <DistrictChamber>S</DistrictChamber>
    <DraftingCycleCount>1</DraftingCycleCount>
    <LatestDraftingActionId>90</LatestDraftingActionId>
    <LatestDraftingActionDate>2026-04-02T15:29:22</LatestDraftingActionDate>
    <LatestDrafterName>echarbonneau</LatestDrafterName>
    <LatestProoferName>ekeyes</LatestProoferName>
    <LatestTechName>BShorey</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w:rsidR="002A569C" w:rsidRDefault="002A569C" w:rsidP="002A569C"&gt;&lt;w:pPr&gt;&lt;w:spacing w:after="240" /&gt;&lt;w:ind w:left="360" /&gt;&lt;w:jc w:val="right" /&gt;&lt;w:rPr&gt;&lt;w:caps /&gt;&lt;/w:rPr&gt;&lt;/w:pPr&gt;&lt;w:bookmarkStart w:id="0" w:name="_AMEND_TITLE__8203031e_d85e_4c4f_8486_64" /&gt;&lt;w:bookmarkStart w:id="1" w:name="_PAGE__1_11d37765_ffc3_4846_9b24_66ab46e" /&gt;&lt;w:bookmarkStart w:id="2" w:name="_PAR__2_39bd9a6c_bc57_4262_9860_b73effec" /&gt;&lt;w:r&gt;&lt;w:rPr&gt;&lt;w:caps /&gt;&lt;/w:rPr&gt;&lt;w:t&gt;L.D. 2200&lt;/w:t&gt;&lt;/w:r&gt;&lt;/w:p&gt;&lt;w:p w:rsidR="002A569C" w:rsidRDefault="002A569C" w:rsidP="002A569C"&gt;&lt;w:pPr&gt;&lt;w:tabs&gt;&lt;w:tab w:val="right" w:pos="8928" /&gt;&lt;/w:tabs&gt;&lt;w:spacing w:after="360" /&gt;&lt;w:ind w:left="360" /&gt;&lt;/w:pPr&gt;&lt;w:bookmarkStart w:id="3" w:name="_PAR__3_ef8d0ab7_1e3e_4d70_b313_5147a247" /&gt;&lt;w:bookmarkEnd w:id="2" /&gt;&lt;w:r&gt;&lt;w:t&gt;Date:&lt;/w:t&gt;&lt;/w:r&gt;&lt;w:r&gt;&lt;w:tab /&gt;&lt;w:t&gt;(Filing No. S-         )&lt;/w:t&gt;&lt;/w:r&gt;&lt;/w:p&gt;&lt;w:p w:rsidR="002A569C" w:rsidRDefault="002A569C" w:rsidP="002A569C"&gt;&lt;w:pPr&gt;&lt;w:spacing w:before="60" w:after="60" /&gt;&lt;w:ind w:left="720" /&gt;&lt;/w:pPr&gt;&lt;w:bookmarkStart w:id="4" w:name="_PAR__4_8755e204_f51e_4817_b5dc_f32fefd3" /&gt;&lt;w:bookmarkEnd w:id="3" /&gt;&lt;w:r&gt;&lt;w:t&gt;Reproduced and distributed under the direction of the Secretary of the Senate.&lt;/w:t&gt;&lt;/w:r&gt;&lt;/w:p&gt;&lt;w:p w:rsidR="002A569C" w:rsidRDefault="002A569C" w:rsidP="002A569C"&gt;&lt;w:pPr&gt;&lt;w:spacing w:before="160" w:after="0" /&gt;&lt;w:ind w:left="360" /&gt;&lt;w:jc w:val="center" /&gt;&lt;w:outlineLvl w:val="0" /&gt;&lt;w:rPr&gt;&lt;w:rFonts w:cs="Arial" /&gt;&lt;w:b /&gt;&lt;w:bCs /&gt;&lt;w:caps /&gt;&lt;w:sz w:val="24" /&gt;&lt;w:szCs w:val="32" /&gt;&lt;/w:rPr&gt;&lt;/w:pPr&gt;&lt;w:bookmarkStart w:id="5" w:name="_PAR__5_fbc9f953_fb3c_43b2_964b_b893b5d1" /&gt;&lt;w:bookmarkEnd w:id="4" /&gt;&lt;w:r&gt;&lt;w:rPr&gt;&lt;w:rFonts w:cs="Arial" /&gt;&lt;w:b /&gt;&lt;w:bCs /&gt;&lt;w:caps /&gt;&lt;w:sz w:val="24" /&gt;&lt;w:szCs w:val="32" /&gt;&lt;/w:rPr&gt;&lt;w:t&gt;STATE OF MAINE&lt;/w:t&gt;&lt;/w:r&gt;&lt;/w:p&gt;&lt;w:p w:rsidR="002A569C" w:rsidRDefault="002A569C" w:rsidP="002A569C"&gt;&lt;w:pPr&gt;&lt;w:spacing w:after="0" /&gt;&lt;w:ind w:left="360" /&gt;&lt;w:jc w:val="center" /&gt;&lt;w:outlineLvl w:val="0" /&gt;&lt;w:rPr&gt;&lt;w:rFonts w:cs="Arial" /&gt;&lt;w:b /&gt;&lt;w:bCs /&gt;&lt;w:caps /&gt;&lt;w:sz w:val="24" /&gt;&lt;w:szCs w:val="32" /&gt;&lt;/w:rPr&gt;&lt;/w:pPr&gt;&lt;w:bookmarkStart w:id="6" w:name="_PAR__6_63973c4f_7aad_414a_a10c_1c87196b" /&gt;&lt;w:bookmarkEnd w:id="5" /&gt;&lt;w:r&gt;&lt;w:rPr&gt;&lt;w:rFonts w:cs="Arial" /&gt;&lt;w:b /&gt;&lt;w:bCs /&gt;&lt;w:caps /&gt;&lt;w:sz w:val="24" /&gt;&lt;w:szCs w:val="32" /&gt;&lt;/w:rPr&gt;&lt;w:t&gt;SENATE&lt;/w:t&gt;&lt;/w:r&gt;&lt;/w:p&gt;&lt;w:p w:rsidR="002A569C" w:rsidRDefault="002A569C" w:rsidP="002A569C"&gt;&lt;w:pPr&gt;&lt;w:spacing w:after="0" /&gt;&lt;w:ind w:left="360" /&gt;&lt;w:jc w:val="center" /&gt;&lt;w:outlineLvl w:val="0" /&gt;&lt;w:rPr&gt;&lt;w:rFonts w:cs="Arial" /&gt;&lt;w:b /&gt;&lt;w:bCs /&gt;&lt;w:caps /&gt;&lt;w:sz w:val="24" /&gt;&lt;w:szCs w:val="32" /&gt;&lt;/w:rPr&gt;&lt;/w:pPr&gt;&lt;w:bookmarkStart w:id="7" w:name="_PAR__7_9ac2e6fb_fade_4643_b27f_43b96205" /&gt;&lt;w:bookmarkEnd w:id="6" /&gt;&lt;w:r&gt;&lt;w:rPr&gt;&lt;w:rFonts w:cs="Arial" /&gt;&lt;w:b /&gt;&lt;w:bCs /&gt;&lt;w:caps /&gt;&lt;w:sz w:val="24" /&gt;&lt;w:szCs w:val="32" /&gt;&lt;/w:rPr&gt;&lt;w:t&gt;132nd Legislature&lt;/w:t&gt;&lt;/w:r&gt;&lt;/w:p&gt;&lt;w:p w:rsidR="002A569C" w:rsidRDefault="002A569C" w:rsidP="002A569C"&gt;&lt;w:pPr&gt;&lt;w:spacing w:after="0" /&gt;&lt;w:ind w:left="360" /&gt;&lt;w:jc w:val="center" /&gt;&lt;w:outlineLvl w:val="0" /&gt;&lt;w:rPr&gt;&lt;w:rFonts w:cs="Arial" /&gt;&lt;w:b /&gt;&lt;w:bCs /&gt;&lt;w:caps /&gt;&lt;w:sz w:val="24" /&gt;&lt;w:szCs w:val="32" /&gt;&lt;/w:rPr&gt;&lt;/w:pPr&gt;&lt;w:bookmarkStart w:id="8" w:name="_PAR__8_68d9e850_74fc_45fb_b0d9_a4a2e988" /&gt;&lt;w:bookmarkEnd w:id="7" /&gt;&lt;w:r&gt;&lt;w:rPr&gt;&lt;w:rFonts w:cs="Arial" /&gt;&lt;w:b /&gt;&lt;w:bCs /&gt;&lt;w:caps /&gt;&lt;w:sz w:val="24" /&gt;&lt;w:szCs w:val="32" /&gt;&lt;/w:rPr&gt;&lt;w:t&gt;Second Regular Session&lt;/w:t&gt;&lt;/w:r&gt;&lt;/w:p&gt;&lt;w:p w:rsidR="002A569C" w:rsidRDefault="002A569C" w:rsidP="002A569C"&gt;&lt;w:pPr&gt;&lt;w:spacing w:before="400" w:after="200" /&gt;&lt;w:ind w:left="360" w:firstLine="360" /&gt;&lt;/w:pPr&gt;&lt;w:bookmarkStart w:id="9" w:name="_PAR__9_48078ed3_51be_49ef_80ae_851d20cf" /&gt;&lt;w:bookmarkEnd w:id="8" /&gt;&lt;w:r&gt;&lt;w:rPr&gt;&lt;w:szCs w:val="22" /&gt;&lt;/w:rPr&gt;&lt;w:t&gt;SENATE AMENDMENT “      ” to COMMITTEE AMENDMENT “A” to H.P. 1479, L.D. 2200, “An Act to Prohibit Noncompete Clauses for Health Care Professionals as Recommended by the Commission to Evaluate the Scope of Regulatory Review and Oversight over Health Care Transactions That Impact the Delivery of Health Care Services in the State  ”&lt;/w:t&gt;&lt;/w:r&gt;&lt;/w:p&gt;&lt;w:p w:rsidR="002A569C" w:rsidRDefault="002A569C" w:rsidP="002A569C"&gt;&lt;w:pPr&gt;&lt;w:ind w:left="360" w:firstLine="360" /&gt;&lt;/w:pPr&gt;&lt;w:bookmarkStart w:id="10" w:name="_INSTRUCTION__60464d6d_e3e6_43c0_b2ce_2c" /&gt;&lt;w:bookmarkStart w:id="11" w:name="_PAR__10_c903c505_e076_420a_968f_0e17699" /&gt;&lt;w:bookmarkEnd w:id="0" /&gt;&lt;w:bookmarkEnd w:id="9" /&gt;&lt;w:r&gt;&lt;w:t&gt;Amend the amendment by inserting after section 2 the following:&lt;/w:t&gt;&lt;/w:r&gt;&lt;/w:p&gt;&lt;w:p w:rsidR="002A569C" w:rsidRDefault="002A569C" w:rsidP="002A569C"&gt;&lt;w:pPr&gt;&lt;w:ind w:left="360" w:firstLine="360" /&gt;&lt;/w:pPr&gt;&lt;w:bookmarkStart w:id="12" w:name="_PAR__11_22140e8b_ee87_4f2c_80d2_fff821b" /&gt;&lt;w:bookmarkEnd w:id="11" /&gt;&lt;w:r&gt;&lt;w:t&gt;'&lt;/w:t&gt;&lt;/w:r&gt;&lt;w:r&gt;&lt;w:rPr&gt;&lt;w:b /&gt;&lt;w:sz w:val="24" /&gt;&lt;/w:rPr&gt;&lt;w:t&gt;Sec. 3.  26 MRSA §599-A, sub-§3, ¶C&lt;/w:t&gt;&lt;/w:r&gt;&lt;w:r&gt;&lt;w:t xml:space="preserve"&gt; is enacted to read:&lt;/w:t&gt;&lt;/w:r&gt;&lt;/w:p&gt;&lt;w:p w:rsidR="002A569C" w:rsidRDefault="002A569C" w:rsidP="002A569C"&gt;&lt;w:pPr&gt;&lt;w:ind w:left="720" /&gt;&lt;/w:pPr&gt;&lt;w:bookmarkStart w:id="13" w:name="_PAR__12_613d48bc_e1d4_4325_825a_c8d9683" /&gt;&lt;w:bookmarkEnd w:id="12" /&gt;&lt;w:r&gt;&lt;w:rPr&gt;&lt;w:u w:val="single" /&gt;&lt;/w:rPr&gt;&lt;w:t&gt;C.  The employee is a health care practitioner who is employed by an entity in which that health care practitioner does not have an ownership interest.&lt;/w:t&gt;&lt;/w:r&gt;&lt;w:r&gt;&lt;w:t&gt;'&lt;/w:t&gt;&lt;/w:r&gt;&lt;/w:p&gt;&lt;w:p w:rsidR="002A569C" w:rsidRDefault="002A569C" w:rsidP="002A569C"&gt;&lt;w:pPr&gt;&lt;w:ind w:left="360" w:firstLine="360" /&gt;&lt;/w:pPr&gt;&lt;w:bookmarkStart w:id="14" w:name="_INSTRUCTION__8b89a432_12d8_4b23_ba91_58" /&gt;&lt;w:bookmarkStart w:id="15" w:name="_PAR__13_6911c439_7660_439e_8106_73dc07a" /&gt;&lt;w:bookmarkEnd w:id="10" /&gt;&lt;w:bookmarkEnd w:id="13" /&gt;&lt;w:r&gt;&lt;w:t&gt;Amend the amendment by relettering or renumbering any nonconsecutive Part letter or section number to read consecutively.&lt;/w:t&gt;&lt;/w:r&gt;&lt;/w:p&gt;&lt;w:p w:rsidR="002A569C" w:rsidRDefault="002A569C" w:rsidP="002A569C"&gt;&lt;w:pPr&gt;&lt;w:keepNext /&gt;&lt;w:spacing w:before="240" /&gt;&lt;w:ind w:left="360" /&gt;&lt;w:jc w:val="center" /&gt;&lt;/w:pPr&gt;&lt;w:bookmarkStart w:id="16" w:name="_SUMMARY__839d732a_eed4_42e0_9ddd_6c59a9" /&gt;&lt;w:bookmarkStart w:id="17" w:name="_PAR__14_ad3f1684_da62_49ab_97a5_f12b9e1" /&gt;&lt;w:bookmarkEnd w:id="14" /&gt;&lt;w:bookmarkEnd w:id="15" /&gt;&lt;w:r&gt;&lt;w:rPr&gt;&lt;w:b /&gt;&lt;w:sz w:val="24" /&gt;&lt;/w:rPr&gt;&lt;w:t&gt;SUMMARY&lt;/w:t&gt;&lt;/w:r&gt;&lt;/w:p&gt;&lt;w:p w:rsidR="002A569C" w:rsidRDefault="002A569C" w:rsidP="002A569C"&gt;&lt;w:pPr&gt;&lt;w:keepNext /&gt;&lt;w:ind w:left="360" w:firstLine="360" /&gt;&lt;/w:pPr&gt;&lt;w:bookmarkStart w:id="18" w:name="_PAR__15_1d5b924d_d116_48ff_bb11_9533dcf" /&gt;&lt;w:bookmarkEnd w:id="17" /&gt;&lt;w:r w:rsidRPr="004E07EE"&gt;&lt;w:t xml:space="preserve"&gt;This amendment prohibits an employer from requiring &lt;/w:t&gt;&lt;/w:r&gt;&lt;w:r&gt;&lt;w:t xml:space="preserve"&gt;or permitting &lt;/w:t&gt;&lt;/w:r&gt;&lt;w:r w:rsidRPr="004E07EE"&gt;&lt;w:t xml:space="preserve"&gt;a health care practitioner &lt;/w:t&gt;&lt;/w:r&gt;&lt;w:r&gt;&lt;w:t&gt;to enter&lt;/w:t&gt;&lt;/w:r&gt;&lt;w:r w:rsidRPr="004E07EE"&gt;&lt;w:t xml:space="preserve"&gt; into a noncompete agreement with that employer if the health care practitioner&lt;/w:t&gt;&lt;/w:r&gt;&lt;w:r&gt;&lt;w:t xml:space="preserve"&gt; is employed by an entity in which the health care practitioner does not have an ownership interest&lt;/w:t&gt;&lt;/w:r&gt;&lt;w:r w:rsidRPr="004E07EE"&gt;&lt;w:t&gt;.&lt;/w:t&gt;&lt;/w:r&gt;&lt;/w:p&gt;&lt;w:p w:rsidR="002A569C" w:rsidRDefault="002A569C" w:rsidP="002A569C"&gt;&lt;w:pPr&gt;&lt;w:keepNext /&gt;&lt;w:spacing w:before="400" w:after="120" w:line="259" w:lineRule="auto" /&gt;&lt;w:ind w:left="360" /&gt;&lt;w:rPr&gt;&lt;w:b /&gt;&lt;/w:rPr&gt;&lt;/w:pPr&gt;&lt;w:bookmarkStart w:id="19" w:name="_SPONSOR_BLOCK__57a2be82_72fb_4f90_ae80_" /&gt;&lt;w:bookmarkStart w:id="20" w:name="_PAR__16_0c02210b_e93c_44b4_8b79_968a1d4" /&gt;&lt;w:bookmarkEnd w:id="16" /&gt;&lt;w:bookmarkEnd w:id="18" /&gt;&lt;w:r&gt;&lt;w:rPr&gt;&lt;w:b /&gt;&lt;/w:rPr&gt;&lt;w:t&gt;SPONSORED BY: ___________________________________&lt;/w:t&gt;&lt;/w:r&gt;&lt;/w:p&gt;&lt;w:p w:rsidR="002A569C" w:rsidRDefault="002A569C" w:rsidP="002A569C"&gt;&lt;w:pPr&gt;&lt;w:keepNext /&gt;&lt;w:spacing w:after="120" w:line="259" w:lineRule="auto" /&gt;&lt;w:ind w:left="720" /&gt;&lt;w:rPr&gt;&lt;w:b /&gt;&lt;/w:rPr&gt;&lt;/w:pPr&gt;&lt;w:bookmarkStart w:id="21" w:name="_PAR__17_8e1f7491_a1bc_4b20_95fb_df8fcf5" /&gt;&lt;w:bookmarkEnd w:id="20" /&gt;&lt;w:r&gt;&lt;w:rPr&gt;&lt;w:b /&gt;&lt;/w:rPr&gt;&lt;w:t&gt;(Senator BAILEY, D.)&lt;/w:t&gt;&lt;/w:r&gt;&lt;/w:p&gt;&lt;w:p w:rsidR="00000000" w:rsidRPr="002A569C" w:rsidRDefault="002A569C" w:rsidP="002A569C"&gt;&lt;w:pPr&gt;&lt;w:spacing w:after="120" w:line="259" w:lineRule="auto" /&gt;&lt;w:ind w:left="1080" /&gt;&lt;w:rPr&gt;&lt;w:b /&gt;&lt;/w:rPr&gt;&lt;/w:pPr&gt;&lt;w:bookmarkStart w:id="22" w:name="_PAR__18_de099a8c_65db_4ffa_9548_3e6518f" /&gt;&lt;w:bookmarkEnd w:id="21" /&gt;&lt;w:r&gt;&lt;w:rPr&gt;&lt;w:b /&gt;&lt;/w:rPr&gt;&lt;w:t&gt;COUNTY: York&lt;/w:t&gt;&lt;/w:r&gt;&lt;w:bookmarkEnd w:id="1" /&gt;&lt;w:bookmarkEnd w:id="19" /&gt;&lt;w:bookmarkEnd w:id="22" /&gt;&lt;/w:p&gt;&lt;w:sectPr w:rsidR="00000000" w:rsidRPr="002A569C" w:rsidSect="002A569C"&gt;&lt;w:footerReference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_PAGE__1_11d37765_ffc3_4846_9b24_66ab46e</BookmarkName>
                <Tables/>
              </ProcessedCheckInPage>
            </Pages>
            <Paragraphs>
              <CheckInParagraphs>
                <PageNumber>1</PageNumber>
                <BookmarkName>_PAR__2_39bd9a6c_bc57_4262_9860_b73effec</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_PAR__3_ef8d0ab7_1e3e_4d70_b313_5147a247</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_PAR__4_8755e204_f51e_4817_b5dc_f32fefd3</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_PAR__5_fbc9f953_fb3c_43b2_964b_b893b5d1</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_PAR__6_63973c4f_7aad_414a_a10c_1c87196b</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_PAR__7_9ac2e6fb_fade_4643_b27f_43b96205</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_PAR__8_68d9e850_74fc_45fb_b0d9_a4a2e988</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_PAR__9_48078ed3_51be_49ef_80ae_851d20cf</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_PAR__10_c903c505_e076_420a_968f_0e17699</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_PAR__11_22140e8b_ee87_4f2c_80d2_fff821b</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_PAR__12_613d48bc_e1d4_4325_825a_c8d9683</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_PAR__13_6911c439_7660_439e_8106_73dc07a</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_PAR__14_ad3f1684_da62_49ab_97a5_f12b9e1</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_PAR__15_1d5b924d_d116_48ff_bb11_9533dcf</BookmarkName>
                <StartingLineNumber>20</StartingLineNumber>
                <EndingLineNumber>23</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_PAR__16_0c02210b_e93c_44b4_8b79_968a1d4</BookmarkName>
                <StartingLineNumber>24</StartingLineNumber>
                <EndingLineNumber>24</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_PAR__17_8e1f7491_a1bc_4b20_95fb_df8fcf5</BookmarkName>
                <StartingLineNumber>25</StartingLineNumber>
                <EndingLineNumber>25</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_PAR__18_de099a8c_65db_4ffa_9548_3e6518f</BookmarkName>
                <StartingLineNumber>26</StartingLineNumber>
                <EndingLineNumber>26</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