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Arts Commission to Study Federal and National Efforts to Protect Artists from Copyright Infringement by Artificial Intelligence Companies and Users and to Monitor Educational Use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74 - L.D. 109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Arts Commission to Study Federal and National Efforts to Protect Artists from Copyright Infringement by Artificial Intelligence Companies and Users and to Monitor Educational Use</w:t>
      </w:r>
    </w:p>
    <w:p w:rsidR="002604B2" w:rsidP="002604B2">
      <w:pPr>
        <w:ind w:left="360" w:firstLine="360"/>
        <w:rPr>
          <w:rFonts w:ascii="Arial" w:eastAsia="Arial" w:hAnsi="Arial" w:cs="Arial"/>
        </w:rPr>
      </w:pPr>
      <w:bookmarkStart w:id="0" w:name="_BILL_SECTION_UNALLOCATED__d7d17c9d_a059"/>
      <w:bookmarkStart w:id="1" w:name="_PAR__1_ecd7c7dd_0f41_4bc6_bb65_62472575"/>
      <w:bookmarkStart w:id="2" w:name="_DOC_BODY_CONTENT__2b031508_d9a8_44f5_8e"/>
      <w:bookmarkStart w:id="3" w:name="_DOC_BODY_CONTAINER__01147a54_494c_4f28_"/>
      <w:r>
        <w:rPr>
          <w:rFonts w:ascii="Arial" w:eastAsia="Arial" w:hAnsi="Arial" w:cs="Arial"/>
          <w:b/>
          <w:sz w:val="24"/>
        </w:rPr>
        <w:t xml:space="preserve">Sec. </w:t>
      </w:r>
      <w:bookmarkStart w:id="4" w:name="_BILL_SECTION_NUMBER__5ccd7d57_8f7c_4e39"/>
      <w:r>
        <w:rPr>
          <w:rFonts w:ascii="Arial" w:eastAsia="Arial" w:hAnsi="Arial" w:cs="Arial"/>
          <w:b/>
          <w:sz w:val="24"/>
        </w:rPr>
        <w:t>1</w:t>
      </w:r>
      <w:bookmarkEnd w:id="4"/>
      <w:r>
        <w:rPr>
          <w:rFonts w:ascii="Arial" w:eastAsia="Arial" w:hAnsi="Arial" w:cs="Arial"/>
          <w:b/>
          <w:sz w:val="24"/>
        </w:rPr>
        <w:t xml:space="preserve">.  </w:t>
      </w:r>
      <w:r w:rsidRPr="00482396">
        <w:rPr>
          <w:rFonts w:ascii="Arial" w:eastAsia="Arial" w:hAnsi="Arial" w:cs="Arial"/>
          <w:b/>
          <w:sz w:val="24"/>
        </w:rPr>
        <w:t>Maine Arts Commission study. Resolved:</w:t>
      </w:r>
      <w:r>
        <w:rPr>
          <w:rFonts w:ascii="Arial" w:eastAsia="Arial" w:hAnsi="Arial" w:cs="Arial"/>
        </w:rPr>
        <w:t xml:space="preserve">  </w:t>
      </w:r>
      <w:r w:rsidRPr="00482396">
        <w:rPr>
          <w:rFonts w:ascii="Arial" w:eastAsia="Arial" w:hAnsi="Arial" w:cs="Arial"/>
        </w:rPr>
        <w:t>That the Maine Arts Commission shall study federal</w:t>
      </w:r>
      <w:r>
        <w:rPr>
          <w:rFonts w:ascii="Arial" w:eastAsia="Arial" w:hAnsi="Arial" w:cs="Arial"/>
        </w:rPr>
        <w:t xml:space="preserve"> and national</w:t>
      </w:r>
      <w:r w:rsidRPr="00482396">
        <w:rPr>
          <w:rFonts w:ascii="Arial" w:eastAsia="Arial" w:hAnsi="Arial" w:cs="Arial"/>
        </w:rPr>
        <w:t xml:space="preserve"> efforts to protect artists from copyright infringement by businesses and others promoting, creating, disseminating or using artificial intelligence software applications</w:t>
      </w:r>
      <w:r>
        <w:rPr>
          <w:rFonts w:ascii="Arial" w:eastAsia="Arial" w:hAnsi="Arial" w:cs="Arial"/>
        </w:rPr>
        <w:t xml:space="preserve"> and federal and national efforts to monitor the educational use of copyrighted work</w:t>
      </w:r>
      <w:r w:rsidRPr="00482396">
        <w:rPr>
          <w:rFonts w:ascii="Arial" w:eastAsia="Arial" w:hAnsi="Arial" w:cs="Arial"/>
        </w:rPr>
        <w:t>.  The commission shall consult with the</w:t>
      </w:r>
      <w:r>
        <w:rPr>
          <w:rFonts w:ascii="Arial" w:eastAsia="Arial" w:hAnsi="Arial" w:cs="Arial"/>
        </w:rPr>
        <w:t xml:space="preserve"> Office of the</w:t>
      </w:r>
      <w:r w:rsidRPr="00482396">
        <w:rPr>
          <w:rFonts w:ascii="Arial" w:eastAsia="Arial" w:hAnsi="Arial" w:cs="Arial"/>
        </w:rPr>
        <w:t xml:space="preserve"> Attorney General</w:t>
      </w:r>
      <w:r>
        <w:rPr>
          <w:rFonts w:ascii="Arial" w:eastAsia="Arial" w:hAnsi="Arial" w:cs="Arial"/>
        </w:rPr>
        <w:t xml:space="preserve"> </w:t>
      </w:r>
      <w:r w:rsidRPr="00482396">
        <w:rPr>
          <w:rFonts w:ascii="Arial" w:eastAsia="Arial" w:hAnsi="Arial" w:cs="Arial"/>
        </w:rPr>
        <w:t xml:space="preserve">on the subject of the study.  In its study, the commission may consider any relevant work of or obtain information from the Maine State Cultural Affairs Council, the National </w:t>
      </w:r>
      <w:r>
        <w:rPr>
          <w:rFonts w:ascii="Arial" w:eastAsia="Arial" w:hAnsi="Arial" w:cs="Arial"/>
        </w:rPr>
        <w:t>Endowment</w:t>
      </w:r>
      <w:r w:rsidRPr="00482396">
        <w:rPr>
          <w:rFonts w:ascii="Arial" w:eastAsia="Arial" w:hAnsi="Arial" w:cs="Arial"/>
        </w:rPr>
        <w:t xml:space="preserve"> for the Humanities, the National Endowment for the Arts and the American Society of Composers, Authors and Publishers, as well as any other similar organizations.  The commission may also consider the</w:t>
      </w:r>
      <w:r>
        <w:rPr>
          <w:rFonts w:ascii="Arial" w:eastAsia="Arial" w:hAnsi="Arial" w:cs="Arial"/>
        </w:rPr>
        <w:t xml:space="preserve"> proposed</w:t>
      </w:r>
      <w:r w:rsidRPr="00482396">
        <w:rPr>
          <w:rFonts w:ascii="Arial" w:eastAsia="Arial" w:hAnsi="Arial" w:cs="Arial"/>
        </w:rPr>
        <w:t xml:space="preserve"> federal No Fakes Act of 2024, the</w:t>
      </w:r>
      <w:r>
        <w:rPr>
          <w:rFonts w:ascii="Arial" w:eastAsia="Arial" w:hAnsi="Arial" w:cs="Arial"/>
        </w:rPr>
        <w:t xml:space="preserve"> proposed</w:t>
      </w:r>
      <w:r w:rsidRPr="00482396">
        <w:rPr>
          <w:rFonts w:ascii="Arial" w:eastAsia="Arial" w:hAnsi="Arial" w:cs="Arial"/>
        </w:rPr>
        <w:t xml:space="preserve"> federal No AI FRAUD Act and Tennessee's Ensuring Likeness, Voice, and Image Security Act of 2024, as well as other relevant law or case law, including </w:t>
      </w:r>
      <w:r w:rsidRPr="007E4995">
        <w:rPr>
          <w:rFonts w:ascii="Arial" w:eastAsia="Arial" w:hAnsi="Arial" w:cs="Arial"/>
          <w:i/>
        </w:rPr>
        <w:t>Waits v. Frito-Lay, Inc</w:t>
      </w:r>
      <w:r w:rsidRPr="00482396">
        <w:rPr>
          <w:rFonts w:ascii="Arial" w:eastAsia="Arial" w:hAnsi="Arial" w:cs="Arial"/>
        </w:rPr>
        <w:t>.</w:t>
      </w:r>
      <w:r>
        <w:rPr>
          <w:rFonts w:ascii="Arial" w:eastAsia="Arial" w:hAnsi="Arial" w:cs="Arial"/>
        </w:rPr>
        <w:t>,</w:t>
      </w:r>
      <w:r w:rsidRPr="00482396">
        <w:rPr>
          <w:rFonts w:ascii="Arial" w:eastAsia="Arial" w:hAnsi="Arial" w:cs="Arial"/>
        </w:rPr>
        <w:t xml:space="preserve"> 978 F.2d 1093 (9th Cir. 1992) and </w:t>
      </w:r>
      <w:r w:rsidRPr="007E4995">
        <w:rPr>
          <w:rFonts w:ascii="Arial" w:eastAsia="Arial" w:hAnsi="Arial" w:cs="Arial"/>
          <w:i/>
        </w:rPr>
        <w:t>Midler v. Ford Motor Co</w:t>
      </w:r>
      <w:r w:rsidRPr="00482396">
        <w:rPr>
          <w:rFonts w:ascii="Arial" w:eastAsia="Arial" w:hAnsi="Arial" w:cs="Arial"/>
        </w:rPr>
        <w:t>.</w:t>
      </w:r>
      <w:r>
        <w:rPr>
          <w:rFonts w:ascii="Arial" w:eastAsia="Arial" w:hAnsi="Arial" w:cs="Arial"/>
        </w:rPr>
        <w:t>,</w:t>
      </w:r>
      <w:r w:rsidRPr="00482396">
        <w:rPr>
          <w:rFonts w:ascii="Arial" w:eastAsia="Arial" w:hAnsi="Arial" w:cs="Arial"/>
        </w:rPr>
        <w:t xml:space="preserve"> 849 F.2d 460 (9th Cir. 1988).  The commission shall report its findings, including any suggested legislation, to the Joint Standing Committee on Education and Cultural Affairs </w:t>
      </w:r>
      <w:r>
        <w:rPr>
          <w:rFonts w:ascii="Arial" w:eastAsia="Arial" w:hAnsi="Arial" w:cs="Arial"/>
        </w:rPr>
        <w:t>by December 3, 2025</w:t>
      </w:r>
      <w:r w:rsidRPr="00482396">
        <w:rPr>
          <w:rFonts w:ascii="Arial" w:eastAsia="Arial" w:hAnsi="Arial" w:cs="Arial"/>
        </w:rPr>
        <w:t>.  The joint standing committee may report out a bill to the Second Regular Session of the 132nd Legislature based on the report.</w:t>
      </w:r>
    </w:p>
    <w:p w:rsidR="002604B2" w:rsidP="002604B2">
      <w:pPr>
        <w:ind w:left="360" w:firstLine="360"/>
        <w:rPr>
          <w:rFonts w:ascii="Arial" w:eastAsia="Arial" w:hAnsi="Arial" w:cs="Arial"/>
        </w:rPr>
      </w:pPr>
      <w:bookmarkStart w:id="5" w:name="_BILL_SECTION_UNALLOCATED__92603d06_0c47"/>
      <w:bookmarkStart w:id="6" w:name="_INSTRUCTION__ca69ecfd_d7c1_47ec_8856_28"/>
      <w:bookmarkEnd w:id="0"/>
      <w:bookmarkEnd w:id="1"/>
      <w:r>
        <w:rPr>
          <w:rFonts w:ascii="Arial" w:eastAsia="Arial" w:hAnsi="Arial" w:cs="Arial"/>
          <w:b/>
          <w:sz w:val="24"/>
        </w:rPr>
        <w:t xml:space="preserve">Sec. </w:t>
      </w:r>
      <w:bookmarkStart w:id="7" w:name="_BILL_SECTION_NUMBER__4512ea6c_5eb8_45cc"/>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8A286A">
        <w:rPr>
          <w:rFonts w:ascii="Arial" w:eastAsia="Arial" w:hAnsi="Arial" w:cs="Arial"/>
          <w:b/>
          <w:sz w:val="24"/>
          <w:szCs w:val="24"/>
        </w:rPr>
        <w:t>Funding. Resolved:</w:t>
      </w:r>
      <w:r>
        <w:rPr>
          <w:rFonts w:ascii="Arial" w:eastAsia="Arial" w:hAnsi="Arial" w:cs="Arial"/>
        </w:rPr>
        <w:t xml:space="preserve"> That the Maine Arts Commission may accept grants, private contributions and any additional outside funding for the study under this resolve.</w:t>
      </w:r>
    </w:p>
    <w:p w:rsidR="002604B2" w:rsidP="002604B2">
      <w:pPr>
        <w:ind w:left="360" w:firstLine="360"/>
        <w:rPr>
          <w:rFonts w:ascii="Arial" w:eastAsia="Arial" w:hAnsi="Arial" w:cs="Arial"/>
        </w:rPr>
      </w:pPr>
      <w:bookmarkStart w:id="8" w:name="_APPROP_SECTION__1dc82009_94cb_471d_98ec"/>
      <w:bookmarkStart w:id="9" w:name="_INSTRUCTION__22cc279a_8ca1_4291_9d82_02"/>
      <w:bookmarkEnd w:id="5"/>
      <w:bookmarkEnd w:id="6"/>
      <w:r>
        <w:rPr>
          <w:rFonts w:ascii="Arial" w:eastAsia="Arial" w:hAnsi="Arial" w:cs="Arial"/>
          <w:b/>
          <w:sz w:val="24"/>
        </w:rPr>
        <w:t xml:space="preserve">Sec. </w:t>
      </w:r>
      <w:bookmarkStart w:id="10" w:name="_BILL_SECTION_NUMBER__e19abde8_bbbb_4926"/>
      <w:r>
        <w:rPr>
          <w:rFonts w:ascii="Arial" w:eastAsia="Arial" w:hAnsi="Arial" w:cs="Arial"/>
          <w:b/>
          <w:sz w:val="24"/>
        </w:rPr>
        <w:t>3</w:t>
      </w:r>
      <w:bookmarkEnd w:id="10"/>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2604B2" w:rsidP="002604B2">
      <w:pPr>
        <w:pStyle w:val="BPSParagraphLeftAlign"/>
        <w:suppressAutoHyphens/>
        <w:ind w:left="360"/>
        <w:rPr>
          <w:rFonts w:ascii="Arial" w:eastAsia="Arial" w:hAnsi="Arial" w:cs="Arial"/>
        </w:rPr>
      </w:pPr>
      <w:r>
        <w:rPr>
          <w:rFonts w:ascii="Arial" w:eastAsia="Arial" w:hAnsi="Arial" w:cs="Arial"/>
          <w:b/>
        </w:rPr>
        <w:t>ARTS COMMISSION, MAINE</w:t>
      </w:r>
    </w:p>
    <w:p w:rsidR="002604B2" w:rsidP="002604B2">
      <w:pPr>
        <w:pStyle w:val="BPSParagraphLeftAlign"/>
        <w:suppressAutoHyphens/>
        <w:ind w:left="360"/>
        <w:rPr>
          <w:rFonts w:ascii="Arial" w:eastAsia="Arial" w:hAnsi="Arial" w:cs="Arial"/>
        </w:rPr>
      </w:pPr>
      <w:r>
        <w:rPr>
          <w:rFonts w:ascii="Arial" w:eastAsia="Arial" w:hAnsi="Arial" w:cs="Arial"/>
          <w:b/>
        </w:rPr>
        <w:t>Arts - Administration 0178</w:t>
      </w:r>
    </w:p>
    <w:p w:rsidR="002604B2" w:rsidP="002604B2">
      <w:pPr>
        <w:ind w:left="360"/>
        <w:rPr>
          <w:rFonts w:ascii="Arial" w:eastAsia="Arial" w:hAnsi="Arial" w:cs="Arial"/>
        </w:rPr>
      </w:pPr>
      <w:r>
        <w:rPr>
          <w:rFonts w:ascii="Arial" w:eastAsia="Arial" w:hAnsi="Arial" w:cs="Arial"/>
        </w:rPr>
        <w:t>Initiative: Provides one-time funds for a consultant to research and analyze the impact of unauthorized usage by artificial intelligence on an artist's work.</w:t>
      </w:r>
    </w:p>
    <w:tbl>
      <w:tblPr>
        <w:tblStyle w:val="BPSTable"/>
        <w:tblW w:w="0" w:type="auto"/>
        <w:tblInd w:w="360" w:type="dxa"/>
        <w:tblCellMar>
          <w:left w:w="0" w:type="dxa"/>
          <w:right w:w="0" w:type="dxa"/>
        </w:tblCellMar>
        <w:tblLook w:val="04A0"/>
      </w:tblPr>
      <w:tblGrid>
        <w:gridCol w:w="5009"/>
        <w:gridCol w:w="1463"/>
        <w:gridCol w:w="1463"/>
      </w:tblGrid>
      <w:tr w:rsidTr="000457F0">
        <w:tblPrEx>
          <w:tblW w:w="0" w:type="auto"/>
          <w:tblInd w:w="360" w:type="dxa"/>
          <w:tblCellMar>
            <w:left w:w="0" w:type="dxa"/>
            <w:right w:w="0" w:type="dxa"/>
          </w:tblCellMar>
          <w:tblLook w:val="04A0"/>
        </w:tblPrEx>
        <w:tc>
          <w:tcPr>
            <w:tcW w:w="5069" w:type="dxa"/>
          </w:tcPr>
          <w:p w:rsidR="002604B2" w:rsidP="000457F0">
            <w:pPr>
              <w:rPr>
                <w:rFonts w:ascii="Arial" w:eastAsia="Arial" w:hAnsi="Arial" w:cs="Arial"/>
              </w:rPr>
            </w:pPr>
            <w:r>
              <w:rPr>
                <w:rFonts w:ascii="Arial" w:eastAsia="Arial" w:hAnsi="Arial" w:cs="Arial"/>
                <w:b/>
              </w:rPr>
              <w:t>GENERAL FUND</w:t>
            </w:r>
          </w:p>
        </w:tc>
        <w:tc>
          <w:tcPr>
            <w:tcW w:w="1469" w:type="dxa"/>
          </w:tcPr>
          <w:p w:rsidR="002604B2" w:rsidP="000457F0">
            <w:pPr>
              <w:jc w:val="right"/>
              <w:rPr>
                <w:rFonts w:ascii="Arial" w:eastAsia="Arial" w:hAnsi="Arial" w:cs="Arial"/>
              </w:rPr>
            </w:pPr>
            <w:r>
              <w:rPr>
                <w:rFonts w:ascii="Arial" w:eastAsia="Arial" w:hAnsi="Arial" w:cs="Arial"/>
                <w:b/>
              </w:rPr>
              <w:t>2025-26</w:t>
            </w:r>
          </w:p>
        </w:tc>
        <w:tc>
          <w:tcPr>
            <w:tcW w:w="1469" w:type="dxa"/>
          </w:tcPr>
          <w:p w:rsidR="002604B2" w:rsidP="000457F0">
            <w:pPr>
              <w:jc w:val="right"/>
              <w:rPr>
                <w:rFonts w:ascii="Arial" w:eastAsia="Arial" w:hAnsi="Arial" w:cs="Arial"/>
              </w:rPr>
            </w:pPr>
            <w:r>
              <w:rPr>
                <w:rFonts w:ascii="Arial" w:eastAsia="Arial" w:hAnsi="Arial" w:cs="Arial"/>
                <w:b/>
              </w:rPr>
              <w:t>2026-27</w:t>
            </w:r>
          </w:p>
        </w:tc>
      </w:tr>
      <w:tr w:rsidTr="000457F0">
        <w:tblPrEx>
          <w:tblW w:w="0" w:type="auto"/>
          <w:tblInd w:w="360" w:type="dxa"/>
          <w:tblCellMar>
            <w:left w:w="0" w:type="dxa"/>
            <w:right w:w="0" w:type="dxa"/>
          </w:tblCellMar>
          <w:tblLook w:val="04A0"/>
        </w:tblPrEx>
        <w:tc>
          <w:tcPr>
            <w:tcW w:w="5069" w:type="dxa"/>
          </w:tcPr>
          <w:p w:rsidR="002604B2" w:rsidP="000457F0">
            <w:pPr>
              <w:ind w:left="180"/>
              <w:rPr>
                <w:rFonts w:ascii="Arial" w:eastAsia="Arial" w:hAnsi="Arial" w:cs="Arial"/>
              </w:rPr>
            </w:pPr>
            <w:r>
              <w:rPr>
                <w:rFonts w:ascii="Arial" w:eastAsia="Arial" w:hAnsi="Arial" w:cs="Arial"/>
              </w:rPr>
              <w:t>All Other</w:t>
            </w:r>
          </w:p>
        </w:tc>
        <w:tc>
          <w:tcPr>
            <w:tcW w:w="1469" w:type="dxa"/>
          </w:tcPr>
          <w:p w:rsidR="002604B2" w:rsidP="000457F0">
            <w:pPr>
              <w:jc w:val="right"/>
              <w:rPr>
                <w:rFonts w:ascii="Arial" w:eastAsia="Arial" w:hAnsi="Arial" w:cs="Arial"/>
              </w:rPr>
            </w:pPr>
            <w:r>
              <w:rPr>
                <w:rFonts w:ascii="Arial" w:eastAsia="Arial" w:hAnsi="Arial" w:cs="Arial"/>
              </w:rPr>
              <w:t>$25,000</w:t>
            </w:r>
          </w:p>
        </w:tc>
        <w:tc>
          <w:tcPr>
            <w:tcW w:w="1469" w:type="dxa"/>
          </w:tcPr>
          <w:p w:rsidR="002604B2" w:rsidP="000457F0">
            <w:pPr>
              <w:jc w:val="right"/>
              <w:rPr>
                <w:rFonts w:ascii="Arial" w:eastAsia="Arial" w:hAnsi="Arial" w:cs="Arial"/>
              </w:rPr>
            </w:pPr>
            <w:r>
              <w:rPr>
                <w:rFonts w:ascii="Arial" w:eastAsia="Arial" w:hAnsi="Arial" w:cs="Arial"/>
              </w:rPr>
              <w:t>$0</w:t>
            </w:r>
          </w:p>
        </w:tc>
      </w:tr>
      <w:tr w:rsidTr="000457F0">
        <w:tblPrEx>
          <w:tblW w:w="0" w:type="auto"/>
          <w:tblInd w:w="360" w:type="dxa"/>
          <w:tblCellMar>
            <w:left w:w="0" w:type="dxa"/>
            <w:right w:w="0" w:type="dxa"/>
          </w:tblCellMar>
          <w:tblLook w:val="04A0"/>
        </w:tblPrEx>
        <w:tc>
          <w:tcPr>
            <w:tcW w:w="5069" w:type="dxa"/>
          </w:tcPr>
          <w:p w:rsidR="002604B2" w:rsidP="000457F0">
            <w:pPr>
              <w:rPr>
                <w:rFonts w:ascii="Arial" w:eastAsia="Arial" w:hAnsi="Arial" w:cs="Arial"/>
              </w:rPr>
            </w:pPr>
            <w:r>
              <w:rPr>
                <w:rFonts w:ascii="Arial" w:eastAsia="Arial" w:hAnsi="Arial" w:cs="Arial"/>
              </w:rPr>
              <w:t xml:space="preserve"> </w:t>
            </w:r>
          </w:p>
        </w:tc>
        <w:tc>
          <w:tcPr>
            <w:tcW w:w="1469" w:type="dxa"/>
          </w:tcPr>
          <w:p w:rsidR="002604B2" w:rsidP="000457F0">
            <w:pPr>
              <w:jc w:val="right"/>
              <w:rPr>
                <w:rFonts w:ascii="Arial" w:eastAsia="Arial" w:hAnsi="Arial" w:cs="Arial"/>
              </w:rPr>
            </w:pPr>
            <w:r>
              <w:rPr>
                <w:rFonts w:ascii="Arial" w:eastAsia="Arial" w:hAnsi="Arial" w:cs="Arial"/>
              </w:rPr>
              <w:t>__________</w:t>
            </w:r>
          </w:p>
        </w:tc>
        <w:tc>
          <w:tcPr>
            <w:tcW w:w="1469" w:type="dxa"/>
          </w:tcPr>
          <w:p w:rsidR="002604B2" w:rsidP="000457F0">
            <w:pPr>
              <w:jc w:val="right"/>
              <w:rPr>
                <w:rFonts w:ascii="Arial" w:eastAsia="Arial" w:hAnsi="Arial" w:cs="Arial"/>
              </w:rPr>
            </w:pPr>
            <w:r>
              <w:rPr>
                <w:rFonts w:ascii="Arial" w:eastAsia="Arial" w:hAnsi="Arial" w:cs="Arial"/>
              </w:rPr>
              <w:t>__________</w:t>
            </w:r>
          </w:p>
        </w:tc>
      </w:tr>
      <w:tr w:rsidTr="000457F0">
        <w:tblPrEx>
          <w:tblW w:w="0" w:type="auto"/>
          <w:tblInd w:w="360" w:type="dxa"/>
          <w:tblCellMar>
            <w:left w:w="0" w:type="dxa"/>
            <w:right w:w="0" w:type="dxa"/>
          </w:tblCellMar>
          <w:tblLook w:val="04A0"/>
        </w:tblPrEx>
        <w:tc>
          <w:tcPr>
            <w:tcW w:w="5069" w:type="dxa"/>
          </w:tcPr>
          <w:p w:rsidR="002604B2" w:rsidP="000457F0">
            <w:pPr>
              <w:rPr>
                <w:rFonts w:ascii="Arial" w:eastAsia="Arial" w:hAnsi="Arial" w:cs="Arial"/>
              </w:rPr>
            </w:pPr>
            <w:r>
              <w:rPr>
                <w:rFonts w:ascii="Arial" w:eastAsia="Arial" w:hAnsi="Arial" w:cs="Arial"/>
              </w:rPr>
              <w:t>GENERAL FUND TOTAL</w:t>
            </w:r>
          </w:p>
        </w:tc>
        <w:tc>
          <w:tcPr>
            <w:tcW w:w="1469" w:type="dxa"/>
          </w:tcPr>
          <w:p w:rsidR="002604B2" w:rsidP="000457F0">
            <w:pPr>
              <w:jc w:val="right"/>
              <w:rPr>
                <w:rFonts w:ascii="Arial" w:eastAsia="Arial" w:hAnsi="Arial" w:cs="Arial"/>
              </w:rPr>
            </w:pPr>
            <w:r>
              <w:rPr>
                <w:rFonts w:ascii="Arial" w:eastAsia="Arial" w:hAnsi="Arial" w:cs="Arial"/>
              </w:rPr>
              <w:t>$25,000</w:t>
            </w:r>
          </w:p>
        </w:tc>
        <w:tc>
          <w:tcPr>
            <w:tcW w:w="1469" w:type="dxa"/>
          </w:tcPr>
          <w:p w:rsidR="002604B2" w:rsidP="000457F0">
            <w:pPr>
              <w:jc w:val="right"/>
              <w:rPr>
                <w:rFonts w:ascii="Arial" w:eastAsia="Arial" w:hAnsi="Arial" w:cs="Arial"/>
              </w:rPr>
            </w:pPr>
            <w:r>
              <w:rPr>
                <w:rFonts w:ascii="Arial" w:eastAsia="Arial" w:hAnsi="Arial" w:cs="Arial"/>
              </w:rPr>
              <w:t>$0</w:t>
            </w:r>
          </w:p>
        </w:tc>
      </w:tr>
      <w:bookmarkEnd w:id="2"/>
      <w:bookmarkEnd w:id="3"/>
      <w:bookmarkEnd w:id="8"/>
      <w:bookmarkEnd w:id="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LR0114,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Arts Commission to Study Federal and National Efforts to Protect Artists from Copyright Infringement by Artificial Intelligence Companies and Users and to Monitor Educational Use</w:t>
    </w:r>
  </w:p>
  <w:p>
    <w:pPr>
      <w:suppressLineNumbers/>
      <w:spacing w:before="0" w:after="0"/>
      <w:jc w:val="center"/>
      <w:rPr>
        <w:rFonts w:ascii="Arial" w:eastAsia="Arial" w:hAnsi="Arial" w:cs="Arial"/>
      </w:rPr>
    </w:pPr>
    <w:r>
      <w:rPr>
        <w:rFonts w:ascii="Arial" w:eastAsia="Arial" w:hAnsi="Arial" w:cs="Arial"/>
        <w:sz w:val="22"/>
      </w:rPr>
      <w:t>L.D. 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57F0"/>
    <w:rsid w:val="00063BAD"/>
    <w:rsid w:val="0011558B"/>
    <w:rsid w:val="00142693"/>
    <w:rsid w:val="00166945"/>
    <w:rsid w:val="001A2BC9"/>
    <w:rsid w:val="001E1D8B"/>
    <w:rsid w:val="00257B1E"/>
    <w:rsid w:val="002604B2"/>
    <w:rsid w:val="002A3C2A"/>
    <w:rsid w:val="002A3D55"/>
    <w:rsid w:val="002D357F"/>
    <w:rsid w:val="00361F3E"/>
    <w:rsid w:val="003D0121"/>
    <w:rsid w:val="003F2563"/>
    <w:rsid w:val="003F315D"/>
    <w:rsid w:val="00417176"/>
    <w:rsid w:val="00424146"/>
    <w:rsid w:val="00482396"/>
    <w:rsid w:val="004A4378"/>
    <w:rsid w:val="005500BF"/>
    <w:rsid w:val="005568B1"/>
    <w:rsid w:val="00564135"/>
    <w:rsid w:val="00574B75"/>
    <w:rsid w:val="00610E2A"/>
    <w:rsid w:val="00641982"/>
    <w:rsid w:val="006714D5"/>
    <w:rsid w:val="00695EDF"/>
    <w:rsid w:val="006D40C3"/>
    <w:rsid w:val="007D72C8"/>
    <w:rsid w:val="007E4995"/>
    <w:rsid w:val="007F3B1E"/>
    <w:rsid w:val="00801F19"/>
    <w:rsid w:val="00806421"/>
    <w:rsid w:val="008A286A"/>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