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Legislative Oversight of Government Agencies and Programs by Reaffirming the Legislature's Access to Confidential Records</w:t>
      </w:r>
    </w:p>
    <w:p w:rsidR="006F62EF" w:rsidP="006F62E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15d653c_cbc7_4c1d_8cdd_5e"/>
      <w:bookmarkStart w:id="1" w:name="_PAGE__1_c61e786d_470f_46ac_bc67_acc554e"/>
      <w:bookmarkStart w:id="2" w:name="_PAR__2_40cc1ce4_f094_4b47_b5cc_48fd6864"/>
      <w:r>
        <w:rPr>
          <w:rFonts w:ascii="Arial" w:eastAsia="Arial" w:hAnsi="Arial" w:cs="Arial"/>
          <w:caps/>
        </w:rPr>
        <w:t>L.D. 127</w:t>
      </w:r>
    </w:p>
    <w:p w:rsidR="006F62EF" w:rsidP="006F62E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f086bfc0_23ea_4b4a_b83a_612ca17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6F62EF" w:rsidP="006F62EF">
      <w:pPr>
        <w:spacing w:before="60" w:after="60"/>
        <w:ind w:left="720"/>
        <w:rPr>
          <w:rFonts w:ascii="Arial" w:eastAsia="Arial" w:hAnsi="Arial" w:cs="Arial"/>
        </w:rPr>
      </w:pPr>
      <w:bookmarkStart w:id="4" w:name="_PAR__4_92790717_2b4c_4777_ab13_d6a841b0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6F62EF" w:rsidP="006F62E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87053984_8b1e_4b73_ae37_b801f46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6F62EF" w:rsidP="006F62E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45e95bf_3d61_495a_8ef8_e36a1ed3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6F62EF" w:rsidP="006F62E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977debc_bf1d_4da6_893c_e6227ca5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6F62EF" w:rsidP="006F62E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bb6065d_26be_4468_b559_4b09cf47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6F62EF" w:rsidP="006F62EF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611c87d_c984_4a7d_b822_098f5856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S.P. 55, L.D. 127, “An Act to Strengthen Legislative Oversight of Government Agencies and Programs by Reaffirming the Legislature's Access to Confidential Records”</w:t>
      </w:r>
    </w:p>
    <w:p w:rsidR="006F62EF" w:rsidP="006F62EF">
      <w:pPr>
        <w:ind w:left="360" w:firstLine="360"/>
        <w:rPr>
          <w:rFonts w:ascii="Arial" w:eastAsia="Arial" w:hAnsi="Arial" w:cs="Arial"/>
        </w:rPr>
      </w:pPr>
      <w:bookmarkStart w:id="10" w:name="_INSTRUCTION__8516337f_32f4_40dc_a4e0_b5"/>
      <w:bookmarkStart w:id="11" w:name="_PAR__10_aa92fb8e_0524_45c1_8edc_b5d5b61"/>
      <w:bookmarkEnd w:id="0"/>
      <w:bookmarkEnd w:id="9"/>
      <w:r>
        <w:rPr>
          <w:rFonts w:ascii="Arial" w:eastAsia="Arial" w:hAnsi="Arial" w:cs="Arial"/>
        </w:rPr>
        <w:t>Amend the amendment by striking out all of the first instructional paragraph (page 1, lines 12 and 13 in amendment) and inserting the following:</w:t>
      </w:r>
    </w:p>
    <w:p w:rsidR="006F62EF" w:rsidP="006F62EF">
      <w:pPr>
        <w:ind w:left="360" w:firstLine="360"/>
        <w:rPr>
          <w:rFonts w:ascii="Arial" w:eastAsia="Arial" w:hAnsi="Arial" w:cs="Arial"/>
        </w:rPr>
      </w:pPr>
      <w:bookmarkStart w:id="12" w:name="_PAR__11_e32fc061_1f76_4d3e_8e5b_571cbf1"/>
      <w:bookmarkEnd w:id="11"/>
      <w:r>
        <w:rPr>
          <w:rFonts w:ascii="Arial" w:eastAsia="Arial" w:hAnsi="Arial" w:cs="Arial"/>
        </w:rPr>
        <w:t>'Amend the bill by striking out all of the emergency preamble.'</w:t>
      </w:r>
    </w:p>
    <w:p w:rsidR="006F62EF" w:rsidP="006F62EF">
      <w:pPr>
        <w:ind w:left="360" w:firstLine="360"/>
        <w:rPr>
          <w:rFonts w:ascii="Arial" w:eastAsia="Arial" w:hAnsi="Arial" w:cs="Arial"/>
        </w:rPr>
      </w:pPr>
      <w:bookmarkStart w:id="13" w:name="_INSTRUCTION__1e8df48d_b1d1_4a58_b548_e9"/>
      <w:bookmarkStart w:id="14" w:name="_PAR__12_15e5e858_3850_4dc2_a452_7efa702"/>
      <w:bookmarkEnd w:id="10"/>
      <w:bookmarkEnd w:id="12"/>
      <w:r>
        <w:rPr>
          <w:rFonts w:ascii="Arial" w:eastAsia="Arial" w:hAnsi="Arial" w:cs="Arial"/>
        </w:rPr>
        <w:t>Amend the amendment by striking out all of the emergency preamble.</w:t>
      </w:r>
    </w:p>
    <w:p w:rsidR="006F62EF" w:rsidP="006F62EF">
      <w:pPr>
        <w:ind w:left="360" w:firstLine="360"/>
        <w:rPr>
          <w:rFonts w:ascii="Arial" w:eastAsia="Arial" w:hAnsi="Arial" w:cs="Arial"/>
        </w:rPr>
      </w:pPr>
      <w:bookmarkStart w:id="15" w:name="_INSTRUCTION__ed11b233_8df7_414a_a9c1_38"/>
      <w:bookmarkStart w:id="16" w:name="_PAR__13_134a190b_1c5f_4d2c_adeb_45ad9d7"/>
      <w:bookmarkEnd w:id="13"/>
      <w:bookmarkEnd w:id="14"/>
      <w:r>
        <w:rPr>
          <w:rFonts w:ascii="Arial" w:eastAsia="Arial" w:hAnsi="Arial" w:cs="Arial"/>
        </w:rPr>
        <w:t>Amend the amendment in the 2nd instructional paragraph in the first and 2nd lines (page 1, lines 27 and 28 in amendment) by striking out the following: "and before the emergency clause"</w:t>
      </w:r>
    </w:p>
    <w:p w:rsidR="006F62EF" w:rsidP="006F62EF">
      <w:pPr>
        <w:ind w:left="360" w:firstLine="360"/>
        <w:rPr>
          <w:rFonts w:ascii="Arial" w:eastAsia="Arial" w:hAnsi="Arial" w:cs="Arial"/>
        </w:rPr>
      </w:pPr>
      <w:bookmarkStart w:id="17" w:name="_INSTRUCTION__13d522fd_c499_4178_a9b0_f4"/>
      <w:bookmarkStart w:id="18" w:name="_PAR__14_067a76f0_f3c9_4dfe_870e_bd5361a"/>
      <w:bookmarkEnd w:id="15"/>
      <w:bookmarkEnd w:id="16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6F62EF" w:rsidP="006F62E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00c7e5f9_f916_42a2_998f_d08719"/>
      <w:bookmarkStart w:id="20" w:name="_PAR__15_a43a2d3e_615a_42bb_9841_0ad9d90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6F62EF" w:rsidP="006F62EF">
      <w:pPr>
        <w:keepNext/>
        <w:ind w:left="360" w:firstLine="360"/>
        <w:rPr>
          <w:rFonts w:ascii="Arial" w:eastAsia="Arial" w:hAnsi="Arial" w:cs="Arial"/>
        </w:rPr>
      </w:pPr>
      <w:bookmarkStart w:id="21" w:name="_PAR__16_cca83b53_091e_42c7_ba3f_60bfd4a"/>
      <w:bookmarkEnd w:id="20"/>
      <w:r>
        <w:rPr>
          <w:rFonts w:ascii="Arial" w:eastAsia="Arial" w:hAnsi="Arial" w:cs="Arial"/>
        </w:rPr>
        <w:t>This amendment removes the emergency preamble and emergency clause.</w:t>
      </w:r>
    </w:p>
    <w:p w:rsidR="006F62EF" w:rsidP="006F62EF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2" w:name="_SPONSOR_BLOCK__abd97280_155f_4745_b14c_"/>
      <w:bookmarkStart w:id="23" w:name="_PAR__17_da2a64e9_afb2_4a54_ac57_9b9a492"/>
      <w:bookmarkEnd w:id="19"/>
      <w:bookmarkEnd w:id="21"/>
      <w:r>
        <w:rPr>
          <w:rFonts w:ascii="Arial" w:eastAsia="Arial" w:hAnsi="Arial" w:cs="Arial"/>
          <w:b/>
        </w:rPr>
        <w:t>SPONSORED BY: ___________________________________</w:t>
      </w:r>
    </w:p>
    <w:p w:rsidR="006F62EF" w:rsidP="006F62EF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4" w:name="_PAR__18_f6bf19cb_3de6_49e8_b0fb_283ce70"/>
      <w:bookmarkEnd w:id="23"/>
      <w:r>
        <w:rPr>
          <w:rFonts w:ascii="Arial" w:eastAsia="Arial" w:hAnsi="Arial" w:cs="Arial"/>
          <w:b/>
        </w:rPr>
        <w:t>(Representative BOYER, D.)</w:t>
      </w:r>
    </w:p>
    <w:p w:rsidR="00000000" w:rsidRPr="006F62EF" w:rsidP="006F62EF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5" w:name="_PAR__19_d4f492f8_12ea_4f18_a2cb_0d843fd"/>
      <w:bookmarkEnd w:id="24"/>
      <w:r>
        <w:rPr>
          <w:rFonts w:ascii="Arial" w:eastAsia="Arial" w:hAnsi="Arial" w:cs="Arial"/>
          <w:b/>
        </w:rPr>
        <w:t>TOWN: Poland</w:t>
      </w:r>
      <w:bookmarkEnd w:id="1"/>
      <w:bookmarkEnd w:id="22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LR0051,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Legislative Oversight of Government Agencies and Programs by Reaffirming the Legislature's Access to Confidential Records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F62EF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