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Prevent Foreclosures Without Strict Compliance with Notice Requirements</w:t>
      </w:r>
    </w:p>
    <w:p w:rsidR="0004029C" w:rsidP="0004029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262bb15_3bb9_4559_b9df_77"/>
      <w:bookmarkStart w:id="1" w:name="_PAGE__1_3f29e436_ca5e_4491_8355_3bdde84"/>
      <w:bookmarkStart w:id="2" w:name="_PAR__2_8f3b1ee8_6486_4582_b63a_06351d30"/>
      <w:r>
        <w:rPr>
          <w:rFonts w:ascii="Arial" w:eastAsia="Arial" w:hAnsi="Arial" w:cs="Arial"/>
          <w:caps/>
        </w:rPr>
        <w:t>L.D. 1444</w:t>
      </w:r>
    </w:p>
    <w:p w:rsidR="0004029C" w:rsidP="0004029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7d84f1b_7163_4a23_bf6a_72b032a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04029C" w:rsidP="0004029C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895d1ee_e61c_4e57_8961_4549ae02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04029C" w:rsidP="0004029C">
      <w:pPr>
        <w:spacing w:before="60" w:after="60"/>
        <w:ind w:left="720"/>
        <w:rPr>
          <w:rFonts w:ascii="Arial" w:eastAsia="Arial" w:hAnsi="Arial" w:cs="Arial"/>
        </w:rPr>
      </w:pPr>
      <w:bookmarkStart w:id="5" w:name="_PAR__5_6646999d_a959_4119_96bb_9080962d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04029C" w:rsidP="0004029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b5f5122_5897_4025_8464_7432a3f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4029C" w:rsidP="0004029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428d0dc_81cf_4024_920a_2144fbc7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04029C" w:rsidP="0004029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4f57713_3de2_4a4d_bf89_e7a8f6bf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04029C" w:rsidP="0004029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45e212e_80ad_4051_b0ce_b99006ac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04029C" w:rsidP="0004029C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e36e3902_d11a_40a6_a614_f0a0e76"/>
      <w:bookmarkEnd w:id="9"/>
      <w:r>
        <w:rPr>
          <w:rFonts w:ascii="Arial" w:eastAsia="Arial" w:hAnsi="Arial" w:cs="Arial"/>
          <w:szCs w:val="22"/>
        </w:rPr>
        <w:t>COMMITTEE AMENDMENT “      ” to S.P. 585, L.D. 1444, “An Act to Prevent Foreclosures Without Strict Compliance with Notice Requirements”</w:t>
      </w:r>
    </w:p>
    <w:p w:rsidR="0004029C" w:rsidP="0004029C">
      <w:pPr>
        <w:ind w:left="360" w:firstLine="360"/>
        <w:rPr>
          <w:rFonts w:ascii="Arial" w:eastAsia="Arial" w:hAnsi="Arial" w:cs="Arial"/>
        </w:rPr>
      </w:pPr>
      <w:bookmarkStart w:id="11" w:name="_INSTRUCTION__0a191c5f_9eb6_48be_a693_f3"/>
      <w:bookmarkStart w:id="12" w:name="_PAR__11_64a33d50_dc1c_46c2_b344_99ef48a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04029C" w:rsidP="0004029C">
      <w:pPr>
        <w:ind w:left="360"/>
        <w:rPr>
          <w:rFonts w:ascii="Arial" w:eastAsia="Arial" w:hAnsi="Arial" w:cs="Arial"/>
        </w:rPr>
      </w:pPr>
      <w:bookmarkStart w:id="13" w:name="_PAR__12_ac8d090f_3d56_4568_a75c_72cf2ff"/>
      <w:bookmarkEnd w:id="12"/>
      <w:r>
        <w:rPr>
          <w:rFonts w:ascii="Arial" w:eastAsia="Arial" w:hAnsi="Arial" w:cs="Arial"/>
          <w:b/>
        </w:rPr>
        <w:t>'An Act to Clarify the Application of Finch v. U.S. Bank, N.A.'</w:t>
      </w:r>
    </w:p>
    <w:p w:rsidR="0004029C" w:rsidP="0004029C">
      <w:pPr>
        <w:ind w:left="360" w:firstLine="360"/>
        <w:rPr>
          <w:rFonts w:ascii="Arial" w:eastAsia="Arial" w:hAnsi="Arial" w:cs="Arial"/>
        </w:rPr>
      </w:pPr>
      <w:bookmarkStart w:id="14" w:name="_INSTRUCTION__4cd30ab4_fec1_42d1_b9ad_73"/>
      <w:bookmarkStart w:id="15" w:name="_PAR__13_464b2dc8_a1a8_475d_a875_ebb5fb9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04029C" w:rsidP="0004029C">
      <w:pPr>
        <w:ind w:left="360" w:firstLine="360"/>
        <w:rPr>
          <w:rFonts w:ascii="Arial" w:eastAsia="Arial" w:hAnsi="Arial" w:cs="Arial"/>
        </w:rPr>
      </w:pPr>
      <w:bookmarkStart w:id="16" w:name="_PAR__14_f938852c_dcb0_4b65_8930_d64d0bf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14 MRSA §6111, sub-§1-B</w:t>
      </w:r>
      <w:r>
        <w:rPr>
          <w:rFonts w:ascii="Arial" w:eastAsia="Arial" w:hAnsi="Arial" w:cs="Arial"/>
        </w:rPr>
        <w:t xml:space="preserve"> is enacted to read:</w:t>
      </w:r>
    </w:p>
    <w:p w:rsidR="0004029C" w:rsidP="0004029C">
      <w:pPr>
        <w:ind w:left="360" w:firstLine="360"/>
        <w:rPr>
          <w:rFonts w:ascii="Arial" w:eastAsia="Arial" w:hAnsi="Arial" w:cs="Arial"/>
        </w:rPr>
      </w:pPr>
      <w:bookmarkStart w:id="17" w:name="_PAR__15_9d5ce662_6107_469d_8e93_e3affbe"/>
      <w:bookmarkEnd w:id="16"/>
      <w:r>
        <w:rPr>
          <w:rFonts w:ascii="Arial" w:eastAsia="Arial" w:hAnsi="Arial" w:cs="Arial"/>
          <w:b/>
          <w:u w:val="single"/>
        </w:rPr>
        <w:t xml:space="preserve">1-B.  Application. </w:t>
      </w:r>
      <w:r>
        <w:rPr>
          <w:rFonts w:ascii="Arial" w:eastAsia="Arial" w:hAnsi="Arial" w:cs="Arial"/>
          <w:u w:val="single"/>
        </w:rPr>
        <w:t xml:space="preserve"> Notwithstanding any provision of this section to the contrary, for any cause of action arising prior to January 11, 2024 for a claim in which a foreclosure action was dismissed due to a defective notice of a mortgagor's right to cure pursuant to this section, any subsequent cause of action asserting a claim for any sums due on the obligation as of the date of the final judgment dismissing the prior action is barred.  The holding in the case of </w:t>
      </w:r>
      <w:r>
        <w:rPr>
          <w:rFonts w:ascii="Arial" w:eastAsia="Arial" w:hAnsi="Arial" w:cs="Arial"/>
          <w:i/>
          <w:u w:val="single"/>
        </w:rPr>
        <w:t>Finch v. U.S. Bank, N.A.,</w:t>
      </w:r>
      <w:r>
        <w:rPr>
          <w:rFonts w:ascii="Arial" w:eastAsia="Arial" w:hAnsi="Arial" w:cs="Arial"/>
          <w:u w:val="single"/>
        </w:rPr>
        <w:t xml:space="preserve"> 2024 Me. 2 may not be applied to any cause of action arising prior to January 11, 2024.</w:t>
      </w:r>
      <w:r>
        <w:rPr>
          <w:rFonts w:ascii="Arial" w:eastAsia="Arial" w:hAnsi="Arial" w:cs="Arial"/>
        </w:rPr>
        <w:t>'</w:t>
      </w:r>
    </w:p>
    <w:p w:rsidR="0004029C" w:rsidP="0004029C">
      <w:pPr>
        <w:ind w:left="360" w:firstLine="360"/>
        <w:rPr>
          <w:rFonts w:ascii="Arial" w:eastAsia="Arial" w:hAnsi="Arial" w:cs="Arial"/>
        </w:rPr>
      </w:pPr>
      <w:bookmarkStart w:id="18" w:name="_INSTRUCTION__860d3c9e_3d1a_4e8e_a136_a4"/>
      <w:bookmarkStart w:id="19" w:name="_PAR__16_1945b6ed_a056_4dcf_bfa3_434d5ba"/>
      <w:bookmarkEnd w:id="14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4029C" w:rsidP="0004029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942a4e4a_8131_40ea_b22a_08fcbf"/>
      <w:bookmarkStart w:id="21" w:name="_PAR__17_533225d5_ada2_4d92_8682_c5c0632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000000" w:rsidP="0004029C">
      <w:pPr>
        <w:ind w:left="360" w:firstLine="360"/>
        <w:rPr>
          <w:rFonts w:ascii="Arial" w:eastAsia="Arial" w:hAnsi="Arial" w:cs="Arial"/>
        </w:rPr>
      </w:pPr>
      <w:bookmarkStart w:id="22" w:name="_PAR__18_34e99a1f_fc16_4d25_af4b_40bb397"/>
      <w:bookmarkEnd w:id="21"/>
      <w:r w:rsidRPr="002B05DF">
        <w:rPr>
          <w:rFonts w:ascii="Arial" w:eastAsia="Arial" w:hAnsi="Arial" w:cs="Arial"/>
        </w:rPr>
        <w:t xml:space="preserve">This amendment replaces </w:t>
      </w:r>
      <w:r>
        <w:rPr>
          <w:rFonts w:ascii="Arial" w:eastAsia="Arial" w:hAnsi="Arial" w:cs="Arial"/>
        </w:rPr>
        <w:t>the bill and changes the title.  The amendment</w:t>
      </w:r>
      <w:r w:rsidRPr="002B05DF">
        <w:rPr>
          <w:rFonts w:ascii="Arial" w:eastAsia="Arial" w:hAnsi="Arial" w:cs="Arial"/>
        </w:rPr>
        <w:t xml:space="preserve"> clarifies that courts may not apply the holding of the case of </w:t>
      </w:r>
      <w:r w:rsidRPr="002B05DF">
        <w:rPr>
          <w:rFonts w:ascii="Arial" w:eastAsia="Arial" w:hAnsi="Arial" w:cs="Arial"/>
          <w:i/>
        </w:rPr>
        <w:t>Finch v. U.S. Bank, N.A.,</w:t>
      </w:r>
      <w:r>
        <w:rPr>
          <w:rFonts w:ascii="Arial" w:eastAsia="Arial" w:hAnsi="Arial" w:cs="Arial"/>
        </w:rPr>
        <w:t xml:space="preserve"> 2024 Me. 2</w:t>
      </w:r>
      <w:r w:rsidRPr="002B05DF">
        <w:rPr>
          <w:rFonts w:ascii="Arial" w:eastAsia="Arial" w:hAnsi="Arial" w:cs="Arial"/>
        </w:rPr>
        <w:t xml:space="preserve"> retroactively.</w:t>
      </w:r>
      <w:bookmarkEnd w:id="1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LR0736,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Application of Finch v. U.S. Bank, N.A.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4029C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B05DF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