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Establishing the Working Group to Develop Recommendations for Extending Federal Beneficial Laws to the Wabanaki Nations</w:t>
      </w:r>
    </w:p>
    <w:p w:rsidR="00A46FAC" w:rsidP="00A46FAC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5b6ac29b_e6ad_45c3_9e4e_79"/>
      <w:bookmarkStart w:id="1" w:name="_PAGE__1_fe4d79d5_7946_4d81_a00e_2bc0f8a"/>
      <w:bookmarkStart w:id="2" w:name="_PAR__2_a81ae807_c25b_48f1_bfe3_08980030"/>
      <w:r>
        <w:rPr>
          <w:rFonts w:ascii="Arial" w:eastAsia="Arial" w:hAnsi="Arial" w:cs="Arial"/>
          <w:caps/>
        </w:rPr>
        <w:t>L.D. 395</w:t>
      </w:r>
    </w:p>
    <w:p w:rsidR="00A46FAC" w:rsidP="00A46FAC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c6deff1_477d_4767_9fdf_acaaabb6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A46FAC" w:rsidP="00A46FAC">
      <w:pPr>
        <w:spacing w:before="60" w:after="60"/>
        <w:ind w:left="720"/>
        <w:rPr>
          <w:rFonts w:ascii="Arial" w:eastAsia="Arial" w:hAnsi="Arial" w:cs="Arial"/>
        </w:rPr>
      </w:pPr>
      <w:bookmarkStart w:id="4" w:name="_PAR__4_d9f1c9da_1ea8_46cb_ab52_a9980008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A46FAC" w:rsidP="00A46FAC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b0c8035e_f17f_40c2_9768_d54af02b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A46FAC" w:rsidP="00A46FA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d4702b02_4dba_416f_b502_7f875e91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A46FAC" w:rsidP="00A46FA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aef94032_ebe7_4bd1_88a0_86e731ba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A46FAC" w:rsidP="00A46FA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0fd4db91_a977_43ca_b003_4c5ef807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A46FAC" w:rsidP="00A46FAC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ff364309_7594_400c_be54_c32d0a1d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S.P. 181, L.D. 395, “An Act to Restore Access to Federal Laws Beneficial to the Wabanaki Nations”</w:t>
      </w:r>
    </w:p>
    <w:p w:rsidR="00A46FAC" w:rsidP="00A46FAC">
      <w:pPr>
        <w:ind w:left="360" w:firstLine="360"/>
        <w:rPr>
          <w:rFonts w:ascii="Arial" w:eastAsia="Arial" w:hAnsi="Arial" w:cs="Arial"/>
        </w:rPr>
      </w:pPr>
      <w:bookmarkStart w:id="10" w:name="_INSTRUCTION__81bcc1f5_5920_4104_b660_a6"/>
      <w:bookmarkStart w:id="11" w:name="_PAR__10_fb893112_f2b9_4239_8731_adeca67"/>
      <w:bookmarkEnd w:id="0"/>
      <w:bookmarkEnd w:id="9"/>
      <w:r>
        <w:rPr>
          <w:rFonts w:ascii="Arial" w:eastAsia="Arial" w:hAnsi="Arial" w:cs="Arial"/>
        </w:rPr>
        <w:t>Amend the amendment by striking out all of the emergency preamble.</w:t>
      </w:r>
    </w:p>
    <w:p w:rsidR="00A46FAC" w:rsidP="00A46FAC">
      <w:pPr>
        <w:ind w:left="360" w:firstLine="360"/>
        <w:rPr>
          <w:rFonts w:ascii="Arial" w:eastAsia="Arial" w:hAnsi="Arial" w:cs="Arial"/>
        </w:rPr>
      </w:pPr>
      <w:bookmarkStart w:id="12" w:name="_INSTRUCTION__7e926f8c_af8c_453a_badf_3a"/>
      <w:bookmarkStart w:id="13" w:name="_PAR__11_1efc426b_d8c7_497f_aae1_d8dcab6"/>
      <w:bookmarkEnd w:id="10"/>
      <w:bookmarkEnd w:id="11"/>
      <w:r>
        <w:rPr>
          <w:rFonts w:ascii="Arial" w:eastAsia="Arial" w:hAnsi="Arial" w:cs="Arial"/>
        </w:rPr>
        <w:t>Amend the amendment by striking out all of the emergency clause.</w:t>
      </w:r>
    </w:p>
    <w:p w:rsidR="00A46FAC" w:rsidP="00A46FAC">
      <w:pPr>
        <w:ind w:left="360" w:firstLine="360"/>
        <w:rPr>
          <w:rFonts w:ascii="Arial" w:eastAsia="Arial" w:hAnsi="Arial" w:cs="Arial"/>
        </w:rPr>
      </w:pPr>
      <w:bookmarkStart w:id="14" w:name="_INSTRUCTION__0024f5ed_383d_4f74_989b_31"/>
      <w:bookmarkStart w:id="15" w:name="_PAR__12_fba850e0_43ce_4379_9b4e_a3c83c3"/>
      <w:bookmarkEnd w:id="12"/>
      <w:bookmarkEnd w:id="13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A46FAC" w:rsidP="00A46FA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" w:name="_SUMMARY__24091183_ecd6_4027_902f_3f1a33"/>
      <w:bookmarkStart w:id="17" w:name="_PAR__13_447cc2e0_5447_4994_b97d_99882b6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</w:p>
    <w:p w:rsidR="00A46FAC" w:rsidP="00A46FAC">
      <w:pPr>
        <w:keepNext/>
        <w:ind w:left="360" w:firstLine="360"/>
        <w:rPr>
          <w:rFonts w:ascii="Arial" w:eastAsia="Arial" w:hAnsi="Arial" w:cs="Arial"/>
        </w:rPr>
      </w:pPr>
      <w:bookmarkStart w:id="18" w:name="_PAR__14_0b2fde2b_920b_4f15_87c7_7c2070f"/>
      <w:bookmarkEnd w:id="17"/>
      <w:r w:rsidRPr="002951B1">
        <w:rPr>
          <w:rFonts w:ascii="Arial" w:eastAsia="Arial" w:hAnsi="Arial" w:cs="Arial"/>
        </w:rPr>
        <w:t xml:space="preserve">This amendment </w:t>
      </w:r>
      <w:r>
        <w:rPr>
          <w:rFonts w:ascii="Arial" w:eastAsia="Arial" w:hAnsi="Arial" w:cs="Arial"/>
        </w:rPr>
        <w:t>removes</w:t>
      </w:r>
      <w:r w:rsidRPr="002951B1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the </w:t>
      </w:r>
      <w:r w:rsidRPr="002951B1">
        <w:rPr>
          <w:rFonts w:ascii="Arial" w:eastAsia="Arial" w:hAnsi="Arial" w:cs="Arial"/>
        </w:rPr>
        <w:t>emergency preamble and emergency clause.</w:t>
      </w:r>
    </w:p>
    <w:p w:rsidR="00A46FAC" w:rsidP="00A46FAC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9" w:name="_SPONSOR_BLOCK__61ca5da1_c3de_4284_993f_"/>
      <w:bookmarkStart w:id="20" w:name="_PAR__15_b5a07061_812a_44e7_9a39_e0dbdde"/>
      <w:bookmarkEnd w:id="16"/>
      <w:bookmarkEnd w:id="18"/>
      <w:r>
        <w:rPr>
          <w:rFonts w:ascii="Arial" w:eastAsia="Arial" w:hAnsi="Arial" w:cs="Arial"/>
          <w:b/>
        </w:rPr>
        <w:t>SPONSORED BY: ___________________________________</w:t>
      </w:r>
    </w:p>
    <w:p w:rsidR="00A46FAC" w:rsidP="00A46FAC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1" w:name="_PAR__16_efba630b_c0b9_40bc_a741_7e5e2b0"/>
      <w:bookmarkEnd w:id="20"/>
      <w:r>
        <w:rPr>
          <w:rFonts w:ascii="Arial" w:eastAsia="Arial" w:hAnsi="Arial" w:cs="Arial"/>
          <w:b/>
        </w:rPr>
        <w:t>(Senator DUSON, J.)</w:t>
      </w:r>
    </w:p>
    <w:p w:rsidR="00000000" w:rsidRPr="00A46FAC" w:rsidP="00A46FAC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2" w:name="_PAR__17_a807a709_e981_4868_8fec_37fc308"/>
      <w:bookmarkEnd w:id="21"/>
      <w:r>
        <w:rPr>
          <w:rFonts w:ascii="Arial" w:eastAsia="Arial" w:hAnsi="Arial" w:cs="Arial"/>
          <w:b/>
        </w:rPr>
        <w:t>COUNTY: Cumberland</w:t>
      </w:r>
      <w:bookmarkEnd w:id="1"/>
      <w:bookmarkEnd w:id="19"/>
      <w:bookmarkEnd w:id="2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LR0212,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Establishing the Working Group to Develop Recommendations for Extending Federal Beneficial Laws to the Wabanaki Nations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395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951B1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46FAC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