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Chapter 10: Rules for the Administration of the Adult Use Cannabis Program; Chapter 20: Rules for the Licensure of Adult Use Cannabis Establishments; and Chapter 30: Compliance Rules for Adult Use Cannabis Establishments, Major Substantive Rules of the Department of Administrative and Financial Services, Office of Cannabis Policy</w:t>
      </w:r>
    </w:p>
    <w:p w:rsidR="0072638B" w:rsidP="0072638B">
      <w:pPr>
        <w:spacing w:after="240"/>
        <w:ind w:left="360"/>
        <w:jc w:val="right"/>
        <w:rPr>
          <w:rFonts w:ascii="Arial" w:eastAsia="Arial" w:hAnsi="Arial" w:cs="Arial"/>
          <w:caps/>
        </w:rPr>
      </w:pPr>
      <w:bookmarkStart w:id="0" w:name="_AMEND_TITLE__0b1b5fb0_3e39_46be_86aa_71"/>
      <w:bookmarkStart w:id="1" w:name="_PAGE__1_8254b10d_4ef5_4ab2_80a4_c739d74"/>
      <w:bookmarkStart w:id="2" w:name="_PAR__2_98138cfa_01b9_4184_8706_77e4adef"/>
      <w:r>
        <w:rPr>
          <w:rFonts w:ascii="Arial" w:eastAsia="Arial" w:hAnsi="Arial" w:cs="Arial"/>
          <w:caps/>
        </w:rPr>
        <w:t>L.D. 2187</w:t>
      </w:r>
    </w:p>
    <w:p w:rsidR="0072638B" w:rsidP="0072638B">
      <w:pPr>
        <w:tabs>
          <w:tab w:val="right" w:pos="8928"/>
        </w:tabs>
        <w:spacing w:after="360"/>
        <w:ind w:left="360"/>
        <w:rPr>
          <w:rFonts w:ascii="Arial" w:eastAsia="Arial" w:hAnsi="Arial" w:cs="Arial"/>
        </w:rPr>
      </w:pPr>
      <w:bookmarkStart w:id="3" w:name="_PAR__3_83498053_c7af_461d_a598_86f1bdd0"/>
      <w:bookmarkEnd w:id="2"/>
      <w:r>
        <w:rPr>
          <w:rFonts w:ascii="Arial" w:eastAsia="Arial" w:hAnsi="Arial" w:cs="Arial"/>
        </w:rPr>
        <w:t>Date:</w:t>
      </w:r>
      <w:r>
        <w:rPr>
          <w:rFonts w:ascii="Arial" w:eastAsia="Arial" w:hAnsi="Arial" w:cs="Arial"/>
        </w:rPr>
        <w:tab/>
        <w:t>(Filing No. S-         )</w:t>
      </w:r>
    </w:p>
    <w:p w:rsidR="0072638B" w:rsidP="0072638B">
      <w:pPr>
        <w:spacing w:before="60" w:after="60"/>
        <w:ind w:left="720"/>
        <w:rPr>
          <w:rFonts w:ascii="Arial" w:eastAsia="Arial" w:hAnsi="Arial" w:cs="Arial"/>
        </w:rPr>
      </w:pPr>
      <w:bookmarkStart w:id="4" w:name="_PAR__4_91b5ba8d_fe10_4d83_8fe4_1df60865"/>
      <w:bookmarkEnd w:id="3"/>
      <w:r>
        <w:rPr>
          <w:rFonts w:ascii="Arial" w:eastAsia="Arial" w:hAnsi="Arial" w:cs="Arial"/>
        </w:rPr>
        <w:t>Reproduced and distributed under the direction of the Secretary of the Senate.</w:t>
      </w:r>
    </w:p>
    <w:p w:rsidR="0072638B" w:rsidP="0072638B">
      <w:pPr>
        <w:spacing w:before="160" w:after="0"/>
        <w:ind w:left="360"/>
        <w:jc w:val="center"/>
        <w:outlineLvl w:val="0"/>
        <w:rPr>
          <w:rFonts w:ascii="Arial" w:eastAsia="Arial" w:hAnsi="Arial" w:cs="Arial"/>
          <w:b/>
          <w:caps/>
          <w:sz w:val="24"/>
          <w:szCs w:val="32"/>
        </w:rPr>
      </w:pPr>
      <w:bookmarkStart w:id="5" w:name="_PAR__5_828a23ab_e07a_44b9_b179_1e71cfac"/>
      <w:bookmarkEnd w:id="4"/>
      <w:r>
        <w:rPr>
          <w:rFonts w:ascii="Arial" w:eastAsia="Arial" w:hAnsi="Arial" w:cs="Arial"/>
          <w:b/>
          <w:caps/>
          <w:sz w:val="24"/>
          <w:szCs w:val="32"/>
        </w:rPr>
        <w:t>STATE OF MAINE</w:t>
      </w:r>
    </w:p>
    <w:p w:rsidR="0072638B" w:rsidP="0072638B">
      <w:pPr>
        <w:spacing w:after="0"/>
        <w:ind w:left="360"/>
        <w:jc w:val="center"/>
        <w:outlineLvl w:val="0"/>
        <w:rPr>
          <w:rFonts w:ascii="Arial" w:eastAsia="Arial" w:hAnsi="Arial" w:cs="Arial"/>
          <w:b/>
          <w:caps/>
          <w:sz w:val="24"/>
          <w:szCs w:val="32"/>
        </w:rPr>
      </w:pPr>
      <w:bookmarkStart w:id="6" w:name="_PAR__6_b9c7c2b9_4883_4c05_ae45_8a37c781"/>
      <w:bookmarkEnd w:id="5"/>
      <w:r>
        <w:rPr>
          <w:rFonts w:ascii="Arial" w:eastAsia="Arial" w:hAnsi="Arial" w:cs="Arial"/>
          <w:b/>
          <w:caps/>
          <w:sz w:val="24"/>
          <w:szCs w:val="32"/>
        </w:rPr>
        <w:t>SENATE</w:t>
      </w:r>
    </w:p>
    <w:p w:rsidR="0072638B" w:rsidP="0072638B">
      <w:pPr>
        <w:spacing w:after="0"/>
        <w:ind w:left="360"/>
        <w:jc w:val="center"/>
        <w:outlineLvl w:val="0"/>
        <w:rPr>
          <w:rFonts w:ascii="Arial" w:eastAsia="Arial" w:hAnsi="Arial" w:cs="Arial"/>
          <w:b/>
          <w:caps/>
          <w:sz w:val="24"/>
          <w:szCs w:val="32"/>
        </w:rPr>
      </w:pPr>
      <w:bookmarkStart w:id="7" w:name="_PAR__7_70ee262f_da68_427a_a408_01f94357"/>
      <w:bookmarkEnd w:id="6"/>
      <w:r>
        <w:rPr>
          <w:rFonts w:ascii="Arial" w:eastAsia="Arial" w:hAnsi="Arial" w:cs="Arial"/>
          <w:b/>
          <w:caps/>
          <w:sz w:val="24"/>
          <w:szCs w:val="32"/>
        </w:rPr>
        <w:t>131st Legislature</w:t>
      </w:r>
    </w:p>
    <w:p w:rsidR="0072638B" w:rsidP="0072638B">
      <w:pPr>
        <w:spacing w:after="0"/>
        <w:ind w:left="360"/>
        <w:jc w:val="center"/>
        <w:outlineLvl w:val="0"/>
        <w:rPr>
          <w:rFonts w:ascii="Arial" w:eastAsia="Arial" w:hAnsi="Arial" w:cs="Arial"/>
          <w:b/>
          <w:caps/>
          <w:sz w:val="24"/>
          <w:szCs w:val="32"/>
        </w:rPr>
      </w:pPr>
      <w:bookmarkStart w:id="8" w:name="_PAR__8_1e7d43bf_0310_4b0d_9a6a_1ff5aa8c"/>
      <w:bookmarkEnd w:id="7"/>
      <w:r>
        <w:rPr>
          <w:rFonts w:ascii="Arial" w:eastAsia="Arial" w:hAnsi="Arial" w:cs="Arial"/>
          <w:b/>
          <w:caps/>
          <w:sz w:val="24"/>
          <w:szCs w:val="32"/>
        </w:rPr>
        <w:t>Second Regular Session</w:t>
      </w:r>
    </w:p>
    <w:p w:rsidR="0072638B" w:rsidP="0072638B">
      <w:pPr>
        <w:spacing w:before="400" w:after="200"/>
        <w:ind w:left="360" w:firstLine="360"/>
        <w:rPr>
          <w:rFonts w:ascii="Arial" w:eastAsia="Arial" w:hAnsi="Arial" w:cs="Arial"/>
        </w:rPr>
      </w:pPr>
      <w:bookmarkStart w:id="9" w:name="_PAR__9_a6e7ed7f_bfaa_4415_af40_83f8f9e8"/>
      <w:bookmarkEnd w:id="8"/>
      <w:r>
        <w:rPr>
          <w:rFonts w:ascii="Arial" w:eastAsia="Arial" w:hAnsi="Arial" w:cs="Arial"/>
          <w:szCs w:val="22"/>
        </w:rPr>
        <w:t>SENATE AMENDMENT “      ” to COMMITTEE AMENDMENT “A” to H.P. 1401, L.D. 2187, “Resolve, Regarding Legislative Review of Chapter 10: Rules for the Administration of the Adult Use Cannabis Program, a Major Substantive Rule of the Department of Administrative and Financial Services, Office of Cannabis Policy”</w:t>
      </w:r>
    </w:p>
    <w:p w:rsidR="0072638B" w:rsidP="0072638B">
      <w:pPr>
        <w:ind w:left="360" w:firstLine="360"/>
        <w:rPr>
          <w:rFonts w:ascii="Arial" w:eastAsia="Arial" w:hAnsi="Arial" w:cs="Arial"/>
        </w:rPr>
      </w:pPr>
      <w:bookmarkStart w:id="10" w:name="_INSTRUCTION__97f33c09_80f3_48d9_b932_2b"/>
      <w:bookmarkStart w:id="11" w:name="_PAR__10_aade1441_2548_4252_ab31_b1c4b46"/>
      <w:bookmarkEnd w:id="0"/>
      <w:bookmarkEnd w:id="9"/>
      <w:r>
        <w:rPr>
          <w:rFonts w:ascii="Arial" w:eastAsia="Arial" w:hAnsi="Arial" w:cs="Arial"/>
        </w:rPr>
        <w:t>Amend the amendment by striking out everything after the title and inserting the following:</w:t>
      </w:r>
    </w:p>
    <w:p w:rsidR="0072638B" w:rsidP="0072638B">
      <w:pPr>
        <w:ind w:left="360" w:firstLine="360"/>
        <w:rPr>
          <w:rFonts w:ascii="Arial" w:eastAsia="Arial" w:hAnsi="Arial" w:cs="Arial"/>
        </w:rPr>
      </w:pPr>
      <w:bookmarkStart w:id="12" w:name="_PAR__11_12826e86_9e46_481c_867b_6421b3b"/>
      <w:bookmarkEnd w:id="11"/>
      <w:r>
        <w:rPr>
          <w:rFonts w:ascii="Arial" w:eastAsia="Arial" w:hAnsi="Arial" w:cs="Arial"/>
        </w:rPr>
        <w:t>'Amend the resolve by striking out everything after the emergency preamble and before the emergency clause and inserting the following:</w:t>
      </w:r>
    </w:p>
    <w:p w:rsidR="0072638B" w:rsidP="0072638B">
      <w:pPr>
        <w:ind w:left="360" w:firstLine="360"/>
        <w:rPr>
          <w:rFonts w:ascii="Arial" w:eastAsia="Arial" w:hAnsi="Arial" w:cs="Arial"/>
        </w:rPr>
      </w:pPr>
      <w:bookmarkStart w:id="13" w:name="_PAR__12_ef0b4690_c514_4eca_8660_6d64bfd"/>
      <w:bookmarkEnd w:id="12"/>
      <w:r>
        <w:rPr>
          <w:rFonts w:ascii="Arial" w:eastAsia="Arial" w:hAnsi="Arial" w:cs="Arial"/>
        </w:rPr>
        <w:t>'</w:t>
      </w:r>
      <w:r>
        <w:rPr>
          <w:rFonts w:ascii="Arial" w:eastAsia="Arial" w:hAnsi="Arial" w:cs="Arial"/>
          <w:b/>
          <w:sz w:val="24"/>
        </w:rPr>
        <w:t>Sec. 1.</w:t>
      </w:r>
      <w:r w:rsidRPr="00F16C1B">
        <w:rPr>
          <w:rFonts w:ascii="Arial" w:eastAsia="Arial" w:hAnsi="Arial" w:cs="Arial"/>
        </w:rPr>
        <w:t xml:space="preserve"> </w:t>
      </w:r>
      <w:r w:rsidRPr="00F16C1B">
        <w:rPr>
          <w:rFonts w:ascii="Arial" w:eastAsia="Arial" w:hAnsi="Arial" w:cs="Arial"/>
          <w:b/>
          <w:sz w:val="24"/>
        </w:rPr>
        <w:t>Adoption.  Resolved:</w:t>
      </w:r>
      <w:r>
        <w:rPr>
          <w:rFonts w:ascii="Arial" w:eastAsia="Arial" w:hAnsi="Arial" w:cs="Arial"/>
        </w:rPr>
        <w:t xml:space="preserve">  </w:t>
      </w:r>
      <w:r w:rsidRPr="00F16C1B">
        <w:rPr>
          <w:rFonts w:ascii="Arial" w:eastAsia="Arial" w:hAnsi="Arial" w:cs="Arial"/>
        </w:rPr>
        <w:t xml:space="preserve">That final adoption of Chapter 10: Rules for the Administration of the Adult Use Cannabis Program, a provisionally adopted major substantive rule of the Department of Administrative and Financial Services, office of cannabis policy that has been submitted to the Legislature for review pursuant to the Maine Revised Statutes, Title 5, chapter 375, subchapter 2-A, is </w:t>
      </w:r>
      <w:r>
        <w:rPr>
          <w:rFonts w:ascii="Arial" w:eastAsia="Arial" w:hAnsi="Arial" w:cs="Arial"/>
        </w:rPr>
        <w:t>not authorized by this resolve.  As provided in Title 5, section 8072, subsection 11, this resolve does not restrict the Legislature's authority to use another legislative instrument to approve all or part of Chapter 10.' '</w:t>
      </w:r>
    </w:p>
    <w:p w:rsidR="0072638B" w:rsidP="0072638B">
      <w:pPr>
        <w:ind w:left="360" w:firstLine="360"/>
        <w:rPr>
          <w:rFonts w:ascii="Arial" w:eastAsia="Arial" w:hAnsi="Arial" w:cs="Arial"/>
        </w:rPr>
      </w:pPr>
      <w:bookmarkStart w:id="14" w:name="_INSTRUCTION__35205b65_f119_45f6_a306_d3"/>
      <w:bookmarkStart w:id="15" w:name="_PAR__13_1aafbea6_6e84_4d43_ae3e_4918de4"/>
      <w:bookmarkEnd w:id="10"/>
      <w:bookmarkEnd w:id="13"/>
      <w:r>
        <w:rPr>
          <w:rFonts w:ascii="Arial" w:eastAsia="Arial" w:hAnsi="Arial" w:cs="Arial"/>
        </w:rPr>
        <w:t>Amend the amendment by relettering or renumbering any nonconsecutive Part letter or section number to read consecutively.</w:t>
      </w:r>
    </w:p>
    <w:p w:rsidR="0072638B" w:rsidP="0072638B">
      <w:pPr>
        <w:keepNext/>
        <w:spacing w:before="240"/>
        <w:ind w:left="360"/>
        <w:jc w:val="center"/>
        <w:rPr>
          <w:rFonts w:ascii="Arial" w:eastAsia="Arial" w:hAnsi="Arial" w:cs="Arial"/>
        </w:rPr>
      </w:pPr>
      <w:bookmarkStart w:id="16" w:name="_SUMMARY__d4001f22_ce61_4e8b_882e_341d8d"/>
      <w:bookmarkStart w:id="17" w:name="_PAR__14_369ed17e_1841_42f6_bf42_0df0e93"/>
      <w:bookmarkEnd w:id="14"/>
      <w:bookmarkEnd w:id="15"/>
      <w:r>
        <w:rPr>
          <w:rFonts w:ascii="Arial" w:eastAsia="Arial" w:hAnsi="Arial" w:cs="Arial"/>
          <w:b/>
          <w:sz w:val="24"/>
        </w:rPr>
        <w:t>SUMMARY</w:t>
      </w:r>
    </w:p>
    <w:p w:rsidR="0072638B" w:rsidP="0072638B">
      <w:pPr>
        <w:keepNext/>
        <w:ind w:left="360" w:firstLine="360"/>
        <w:rPr>
          <w:rFonts w:ascii="Arial" w:eastAsia="Arial" w:hAnsi="Arial" w:cs="Arial"/>
        </w:rPr>
      </w:pPr>
      <w:bookmarkStart w:id="18" w:name="_PAR__15_d8459c9c_46e9_4310_a186_d8c4bd3"/>
      <w:bookmarkEnd w:id="17"/>
      <w:r w:rsidRPr="00985816">
        <w:rPr>
          <w:rFonts w:ascii="Arial" w:eastAsia="Arial" w:hAnsi="Arial" w:cs="Arial"/>
        </w:rPr>
        <w:t xml:space="preserve">This amendment provides that final adoption of Chapter </w:t>
      </w:r>
      <w:r>
        <w:rPr>
          <w:rFonts w:ascii="Arial" w:eastAsia="Arial" w:hAnsi="Arial" w:cs="Arial"/>
        </w:rPr>
        <w:t>10</w:t>
      </w:r>
      <w:r w:rsidRPr="00985816">
        <w:rPr>
          <w:rFonts w:ascii="Arial" w:eastAsia="Arial" w:hAnsi="Arial" w:cs="Arial"/>
        </w:rPr>
        <w:t xml:space="preserve">: Rules for the </w:t>
      </w:r>
      <w:r>
        <w:rPr>
          <w:rFonts w:ascii="Arial" w:eastAsia="Arial" w:hAnsi="Arial" w:cs="Arial"/>
        </w:rPr>
        <w:t>Administration</w:t>
      </w:r>
      <w:r w:rsidRPr="00985816">
        <w:rPr>
          <w:rFonts w:ascii="Arial" w:eastAsia="Arial" w:hAnsi="Arial" w:cs="Arial"/>
        </w:rPr>
        <w:t xml:space="preserve"> of </w:t>
      </w:r>
      <w:r>
        <w:rPr>
          <w:rFonts w:ascii="Arial" w:eastAsia="Arial" w:hAnsi="Arial" w:cs="Arial"/>
        </w:rPr>
        <w:t xml:space="preserve">the </w:t>
      </w:r>
      <w:r w:rsidRPr="00985816">
        <w:rPr>
          <w:rFonts w:ascii="Arial" w:eastAsia="Arial" w:hAnsi="Arial" w:cs="Arial"/>
        </w:rPr>
        <w:t xml:space="preserve">Adult Use Cannabis </w:t>
      </w:r>
      <w:r>
        <w:rPr>
          <w:rFonts w:ascii="Arial" w:eastAsia="Arial" w:hAnsi="Arial" w:cs="Arial"/>
        </w:rPr>
        <w:t>Program</w:t>
      </w:r>
      <w:r w:rsidRPr="00985816">
        <w:rPr>
          <w:rFonts w:ascii="Arial" w:eastAsia="Arial" w:hAnsi="Arial" w:cs="Arial"/>
        </w:rPr>
        <w:t>, a provisionally adopted major substantive rule of the Department of Administrative and Financial Services, office of cannabis policy, is not authorized by this resolve. The Joint Standing Committee on Veterans and Legal Affairs intends to include authorization of these rules, if certain changes are made, in another legislative instrument.</w:t>
      </w:r>
    </w:p>
    <w:p w:rsidR="0072638B" w:rsidP="0072638B">
      <w:pPr>
        <w:keepNext/>
        <w:spacing w:before="400" w:after="120" w:line="259" w:lineRule="auto"/>
        <w:ind w:left="360"/>
        <w:rPr>
          <w:rFonts w:ascii="Arial" w:eastAsia="Arial" w:hAnsi="Arial" w:cs="Arial"/>
          <w:b/>
        </w:rPr>
      </w:pPr>
      <w:bookmarkStart w:id="19" w:name="_SPONSOR_BLOCK__d259f1b4_7593_4e80_86b3_"/>
      <w:bookmarkStart w:id="20" w:name="_PAR__16_aa60808b_9f76_4d99_990c_62348ab"/>
      <w:bookmarkEnd w:id="16"/>
      <w:bookmarkEnd w:id="18"/>
      <w:r>
        <w:rPr>
          <w:rFonts w:ascii="Arial" w:eastAsia="Arial" w:hAnsi="Arial" w:cs="Arial"/>
          <w:b/>
        </w:rPr>
        <w:t>SPONSORED BY: ___________________________________</w:t>
      </w:r>
    </w:p>
    <w:p w:rsidR="0072638B" w:rsidP="0072638B">
      <w:pPr>
        <w:keepNext/>
        <w:spacing w:after="120" w:line="259" w:lineRule="auto"/>
        <w:ind w:left="720"/>
        <w:rPr>
          <w:rFonts w:ascii="Arial" w:eastAsia="Arial" w:hAnsi="Arial" w:cs="Arial"/>
          <w:b/>
        </w:rPr>
      </w:pPr>
      <w:bookmarkStart w:id="21" w:name="_PAR__17_57a2fc2b_5643_42c9_8af3_2cb2f84"/>
      <w:bookmarkEnd w:id="20"/>
      <w:r>
        <w:rPr>
          <w:rFonts w:ascii="Arial" w:eastAsia="Arial" w:hAnsi="Arial" w:cs="Arial"/>
          <w:b/>
        </w:rPr>
        <w:t>(Senator HICKMAN, C.)</w:t>
      </w:r>
    </w:p>
    <w:p w:rsidR="00000000" w:rsidRPr="0072638B" w:rsidP="0072638B">
      <w:pPr>
        <w:spacing w:after="120" w:line="259" w:lineRule="auto"/>
        <w:ind w:left="1080"/>
        <w:rPr>
          <w:rFonts w:ascii="Arial" w:eastAsia="Arial" w:hAnsi="Arial" w:cs="Arial"/>
          <w:b/>
        </w:rPr>
      </w:pPr>
      <w:bookmarkStart w:id="22" w:name="_PAR__18_ff9cbe33_52ef_48f2_a2f4_39d5043"/>
      <w:bookmarkEnd w:id="21"/>
      <w:r>
        <w:rPr>
          <w:rFonts w:ascii="Arial" w:eastAsia="Arial" w:hAnsi="Arial" w:cs="Arial"/>
          <w:b/>
        </w:rPr>
        <w:t>COUNTY: Kennebec</w:t>
      </w:r>
      <w:bookmarkEnd w:id="1"/>
      <w:bookmarkEnd w:id="19"/>
      <w:bookmarkEnd w:id="2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LR3040,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Chapter 10: Rules for the Administration of the Adult Use Cannabis Program; Chapter 20: Rules for the Licensure of Adult Use Cannabis Establishments; and Chapter 30: Compliance Rules for Adult Use Cannabis Establishments, Major Substantive Rules of the Department of Administrative and Financial Services, Office of Cannabis Policy</w:t>
    </w:r>
  </w:p>
  <w:p>
    <w:pPr>
      <w:suppressLineNumbers/>
      <w:spacing w:before="0" w:after="0"/>
      <w:jc w:val="center"/>
      <w:rPr>
        <w:rFonts w:ascii="Arial" w:eastAsia="Arial" w:hAnsi="Arial" w:cs="Arial"/>
      </w:rPr>
    </w:pPr>
    <w:r>
      <w:rPr>
        <w:rFonts w:ascii="Arial" w:eastAsia="Arial" w:hAnsi="Arial" w:cs="Arial"/>
        <w:sz w:val="22"/>
      </w:rPr>
      <w:t>L.D. 2187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638B"/>
    <w:rsid w:val="007D72C8"/>
    <w:rsid w:val="007F3B1E"/>
    <w:rsid w:val="00801F19"/>
    <w:rsid w:val="00806421"/>
    <w:rsid w:val="008A5943"/>
    <w:rsid w:val="0092322A"/>
    <w:rsid w:val="009367EC"/>
    <w:rsid w:val="00985816"/>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16C1B"/>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