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B7323F" w:rsidP="00B7323F">
      <w:pPr>
        <w:spacing w:after="240"/>
        <w:ind w:left="360"/>
        <w:jc w:val="right"/>
        <w:rPr>
          <w:rFonts w:ascii="Arial" w:eastAsia="Arial" w:hAnsi="Arial" w:cs="Arial"/>
          <w:caps/>
        </w:rPr>
      </w:pPr>
      <w:bookmarkStart w:id="0" w:name="_AMEND_TITLE__0b5d5229_1bbe_4eb8_aebd_19"/>
      <w:bookmarkStart w:id="1" w:name="_PAGE__1_80004841_5d8a_4f09_a0cd_00000d1"/>
      <w:bookmarkStart w:id="2" w:name="_PAR__2_6ad655b6_d063_4506_b822_c5d25fa1"/>
      <w:r>
        <w:rPr>
          <w:rFonts w:ascii="Arial" w:eastAsia="Arial" w:hAnsi="Arial" w:cs="Arial"/>
          <w:caps/>
        </w:rPr>
        <w:t>L.D. 2212</w:t>
      </w:r>
    </w:p>
    <w:p w:rsidR="00B7323F" w:rsidP="00B7323F">
      <w:pPr>
        <w:tabs>
          <w:tab w:val="right" w:pos="8928"/>
        </w:tabs>
        <w:spacing w:after="360"/>
        <w:ind w:left="360"/>
        <w:rPr>
          <w:rFonts w:ascii="Arial" w:eastAsia="Arial" w:hAnsi="Arial" w:cs="Arial"/>
        </w:rPr>
      </w:pPr>
      <w:bookmarkStart w:id="3" w:name="_PAR__3_fdc18038_e5f2_411f_8ba6_91325909"/>
      <w:bookmarkEnd w:id="2"/>
      <w:r>
        <w:rPr>
          <w:rFonts w:ascii="Arial" w:eastAsia="Arial" w:hAnsi="Arial" w:cs="Arial"/>
        </w:rPr>
        <w:t>Date:</w:t>
      </w:r>
      <w:r>
        <w:rPr>
          <w:rFonts w:ascii="Arial" w:eastAsia="Arial" w:hAnsi="Arial" w:cs="Arial"/>
        </w:rPr>
        <w:tab/>
        <w:t>(Filing No. S-         )</w:t>
      </w:r>
    </w:p>
    <w:p w:rsidR="00B7323F" w:rsidP="00B7323F">
      <w:pPr>
        <w:spacing w:before="60" w:after="60"/>
        <w:ind w:left="720"/>
        <w:rPr>
          <w:rFonts w:ascii="Arial" w:eastAsia="Arial" w:hAnsi="Arial" w:cs="Arial"/>
        </w:rPr>
      </w:pPr>
      <w:bookmarkStart w:id="4" w:name="_PAR__4_bd23ee81_f7ea_4994_b67a_06bd64f9"/>
      <w:bookmarkEnd w:id="3"/>
      <w:r>
        <w:rPr>
          <w:rFonts w:ascii="Arial" w:eastAsia="Arial" w:hAnsi="Arial" w:cs="Arial"/>
        </w:rPr>
        <w:t>Reproduced and distributed under the direction of the Secretary of the Senate.</w:t>
      </w:r>
    </w:p>
    <w:p w:rsidR="00B7323F" w:rsidP="00B7323F">
      <w:pPr>
        <w:spacing w:before="160" w:after="0"/>
        <w:ind w:left="360"/>
        <w:jc w:val="center"/>
        <w:outlineLvl w:val="0"/>
        <w:rPr>
          <w:rFonts w:ascii="Arial" w:eastAsia="Arial" w:hAnsi="Arial" w:cs="Arial"/>
          <w:b/>
          <w:caps/>
          <w:sz w:val="24"/>
          <w:szCs w:val="32"/>
        </w:rPr>
      </w:pPr>
      <w:bookmarkStart w:id="5" w:name="_PAR__5_64dd96f0_1a3d_4283_9bb7_4d4e8244"/>
      <w:bookmarkEnd w:id="4"/>
      <w:r>
        <w:rPr>
          <w:rFonts w:ascii="Arial" w:eastAsia="Arial" w:hAnsi="Arial" w:cs="Arial"/>
          <w:b/>
          <w:caps/>
          <w:sz w:val="24"/>
          <w:szCs w:val="32"/>
        </w:rPr>
        <w:t>STATE OF MAINE</w:t>
      </w:r>
    </w:p>
    <w:p w:rsidR="00B7323F" w:rsidP="00B7323F">
      <w:pPr>
        <w:spacing w:after="0"/>
        <w:ind w:left="360"/>
        <w:jc w:val="center"/>
        <w:outlineLvl w:val="0"/>
        <w:rPr>
          <w:rFonts w:ascii="Arial" w:eastAsia="Arial" w:hAnsi="Arial" w:cs="Arial"/>
          <w:b/>
          <w:caps/>
          <w:sz w:val="24"/>
          <w:szCs w:val="32"/>
        </w:rPr>
      </w:pPr>
      <w:bookmarkStart w:id="6" w:name="_PAR__6_5d6d64f5_e174_4c10_858b_e11633ed"/>
      <w:bookmarkEnd w:id="5"/>
      <w:r>
        <w:rPr>
          <w:rFonts w:ascii="Arial" w:eastAsia="Arial" w:hAnsi="Arial" w:cs="Arial"/>
          <w:b/>
          <w:caps/>
          <w:sz w:val="24"/>
          <w:szCs w:val="32"/>
        </w:rPr>
        <w:t>SENATE</w:t>
      </w:r>
    </w:p>
    <w:p w:rsidR="00B7323F" w:rsidP="00B7323F">
      <w:pPr>
        <w:spacing w:after="0"/>
        <w:ind w:left="360"/>
        <w:jc w:val="center"/>
        <w:outlineLvl w:val="0"/>
        <w:rPr>
          <w:rFonts w:ascii="Arial" w:eastAsia="Arial" w:hAnsi="Arial" w:cs="Arial"/>
          <w:b/>
          <w:caps/>
          <w:sz w:val="24"/>
          <w:szCs w:val="32"/>
        </w:rPr>
      </w:pPr>
      <w:bookmarkStart w:id="7" w:name="_PAR__7_208ffe5b_7a0e_47d4_9b7e_b4e17746"/>
      <w:bookmarkEnd w:id="6"/>
      <w:r>
        <w:rPr>
          <w:rFonts w:ascii="Arial" w:eastAsia="Arial" w:hAnsi="Arial" w:cs="Arial"/>
          <w:b/>
          <w:caps/>
          <w:sz w:val="24"/>
          <w:szCs w:val="32"/>
        </w:rPr>
        <w:t>132nd Legislature</w:t>
      </w:r>
    </w:p>
    <w:p w:rsidR="00B7323F" w:rsidP="00B7323F">
      <w:pPr>
        <w:spacing w:after="0"/>
        <w:ind w:left="360"/>
        <w:jc w:val="center"/>
        <w:outlineLvl w:val="0"/>
        <w:rPr>
          <w:rFonts w:ascii="Arial" w:eastAsia="Arial" w:hAnsi="Arial" w:cs="Arial"/>
          <w:b/>
          <w:caps/>
          <w:sz w:val="24"/>
          <w:szCs w:val="32"/>
        </w:rPr>
      </w:pPr>
      <w:bookmarkStart w:id="8" w:name="_PAR__8_f2564b05_69c0_488c_a5ed_60c9035c"/>
      <w:bookmarkEnd w:id="7"/>
      <w:r>
        <w:rPr>
          <w:rFonts w:ascii="Arial" w:eastAsia="Arial" w:hAnsi="Arial" w:cs="Arial"/>
          <w:b/>
          <w:caps/>
          <w:sz w:val="24"/>
          <w:szCs w:val="32"/>
        </w:rPr>
        <w:t>Second Regular Session</w:t>
      </w:r>
    </w:p>
    <w:p w:rsidR="00B7323F" w:rsidP="00B7323F">
      <w:pPr>
        <w:spacing w:before="400" w:after="200"/>
        <w:ind w:left="360" w:firstLine="360"/>
        <w:rPr>
          <w:rFonts w:ascii="Arial" w:eastAsia="Arial" w:hAnsi="Arial" w:cs="Arial"/>
        </w:rPr>
      </w:pPr>
      <w:bookmarkStart w:id="9" w:name="_PAR__9_2edee29e_120d_4a07_b26f_694248c7"/>
      <w:bookmarkEnd w:id="8"/>
      <w:r>
        <w:rPr>
          <w:rFonts w:ascii="Arial" w:eastAsia="Arial" w:hAnsi="Arial" w:cs="Arial"/>
          <w:szCs w:val="22"/>
        </w:rPr>
        <w:t>SENATE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B7323F" w:rsidP="00B7323F">
      <w:pPr>
        <w:ind w:left="360" w:firstLine="360"/>
        <w:rPr>
          <w:rFonts w:ascii="Arial" w:eastAsia="Arial" w:hAnsi="Arial" w:cs="Arial"/>
        </w:rPr>
      </w:pPr>
      <w:bookmarkStart w:id="10" w:name="_INSTRUCTION__e505d071_61c3_4c61_8835_ab"/>
      <w:bookmarkStart w:id="11" w:name="_PAR__10_4e340000_171a_4c47_8047_4b24bba"/>
      <w:bookmarkEnd w:id="0"/>
      <w:bookmarkEnd w:id="9"/>
      <w:r>
        <w:rPr>
          <w:rFonts w:ascii="Arial" w:eastAsia="Arial" w:hAnsi="Arial" w:cs="Arial"/>
        </w:rPr>
        <w:t>Amend the amendment by inserting after Part HHHH the following:</w:t>
      </w:r>
    </w:p>
    <w:p w:rsidR="00B7323F" w:rsidP="00B7323F">
      <w:pPr>
        <w:ind w:left="360"/>
        <w:jc w:val="center"/>
        <w:rPr>
          <w:rFonts w:ascii="Arial" w:eastAsia="Arial" w:hAnsi="Arial" w:cs="Arial"/>
        </w:rPr>
      </w:pPr>
      <w:bookmarkStart w:id="12" w:name="_PAR__11_6390d93d_0895_4b9c_a749_799a2b4"/>
      <w:bookmarkEnd w:id="11"/>
      <w:r>
        <w:rPr>
          <w:rFonts w:ascii="Arial" w:eastAsia="Arial" w:hAnsi="Arial" w:cs="Arial"/>
        </w:rPr>
        <w:t>'</w:t>
      </w:r>
      <w:r>
        <w:rPr>
          <w:rFonts w:ascii="Arial" w:eastAsia="Arial" w:hAnsi="Arial" w:cs="Arial"/>
          <w:b/>
          <w:sz w:val="24"/>
        </w:rPr>
        <w:t>PART IIII</w:t>
      </w:r>
    </w:p>
    <w:p w:rsidR="00B7323F" w:rsidP="00B7323F">
      <w:pPr>
        <w:ind w:left="360" w:firstLine="360"/>
        <w:rPr>
          <w:rFonts w:ascii="Arial" w:eastAsia="Arial" w:hAnsi="Arial" w:cs="Arial"/>
        </w:rPr>
      </w:pPr>
      <w:bookmarkStart w:id="13" w:name="_PAR__12_5c3db98c_4d7f_4faa_9cf0_0fb6f63"/>
      <w:bookmarkEnd w:id="12"/>
      <w:r>
        <w:rPr>
          <w:rFonts w:ascii="Arial" w:eastAsia="Arial" w:hAnsi="Arial" w:cs="Arial"/>
          <w:b/>
          <w:sz w:val="24"/>
        </w:rPr>
        <w:t>Sec. IIII-1.  22 MRSA §3198</w:t>
      </w:r>
      <w:r>
        <w:rPr>
          <w:rFonts w:ascii="Arial" w:eastAsia="Arial" w:hAnsi="Arial" w:cs="Arial"/>
        </w:rPr>
        <w:t xml:space="preserve"> is enacted to read:</w:t>
      </w:r>
    </w:p>
    <w:p w:rsidR="00B7323F" w:rsidP="00B7323F">
      <w:pPr>
        <w:ind w:left="1080" w:hanging="720"/>
        <w:rPr>
          <w:rFonts w:ascii="Arial" w:eastAsia="Arial" w:hAnsi="Arial" w:cs="Arial"/>
          <w:b/>
        </w:rPr>
      </w:pPr>
      <w:bookmarkStart w:id="14" w:name="_PAR__13_aca1cf5f_76db_4526_9f1d_72fbbb7"/>
      <w:bookmarkEnd w:id="13"/>
      <w:r>
        <w:rPr>
          <w:rFonts w:ascii="Arial" w:eastAsia="Arial" w:hAnsi="Arial" w:cs="Arial"/>
          <w:b/>
          <w:u w:val="single"/>
        </w:rPr>
        <w:t>§3198.  Able-bodied, childless adults; temporary enrollment freeze; permanent enrollment cap</w:t>
      </w:r>
    </w:p>
    <w:p w:rsidR="00B7323F" w:rsidRPr="00323CC0" w:rsidP="00B7323F">
      <w:pPr>
        <w:ind w:left="360" w:firstLine="360"/>
        <w:rPr>
          <w:rFonts w:ascii="Arial" w:eastAsia="Arial" w:hAnsi="Arial" w:cs="Arial"/>
        </w:rPr>
      </w:pPr>
      <w:bookmarkStart w:id="15" w:name="_PAR__14_4b32209a_7e7b_44ba_82c0_6d84eb3"/>
      <w:bookmarkEnd w:id="14"/>
      <w:r>
        <w:rPr>
          <w:rFonts w:ascii="Arial" w:eastAsia="Arial" w:hAnsi="Arial" w:cs="Arial"/>
          <w:u w:val="single"/>
        </w:rPr>
        <w:t>Notwithstanding any provision of law to the contrary, the following provisions apply to Medicaid enrollment levels for enrollees who are classified as able-bodied, childless adults.</w:t>
      </w:r>
      <w:r>
        <w:rPr>
          <w:rFonts w:ascii="Arial" w:eastAsia="Arial" w:hAnsi="Arial" w:cs="Arial"/>
        </w:rPr>
        <w:t xml:space="preserve"> </w:t>
      </w:r>
    </w:p>
    <w:p w:rsidR="00B7323F" w:rsidRPr="00323CC0" w:rsidP="00B7323F">
      <w:pPr>
        <w:ind w:left="360" w:firstLine="360"/>
        <w:rPr>
          <w:rFonts w:ascii="Arial" w:eastAsia="Arial" w:hAnsi="Arial" w:cs="Arial"/>
        </w:rPr>
      </w:pPr>
      <w:bookmarkStart w:id="16" w:name="_PAR__15_a9e75c04_032f_4e45_a3f5_9fef012"/>
      <w:bookmarkEnd w:id="15"/>
      <w:r w:rsidRPr="00323CC0">
        <w:rPr>
          <w:rFonts w:ascii="Arial" w:eastAsia="Arial" w:hAnsi="Arial" w:cs="Arial"/>
          <w:b/>
          <w:u w:val="single"/>
        </w:rPr>
        <w:t>1.  Temporary enrollment freeze.</w:t>
      </w:r>
      <w:r>
        <w:rPr>
          <w:rFonts w:ascii="Arial" w:eastAsia="Arial" w:hAnsi="Arial" w:cs="Arial"/>
          <w:u w:val="single"/>
        </w:rPr>
        <w:t xml:space="preserve">  Contingent on approval of a Section 1115 demonstration waiver under the United States Social Security Act from the United States Department of Health and Human Services, Centers for Medicare and Medicaid Services, within 30 days of the effective date of this section, the total number of MaineCare enrollees classified as able-bodied, childless adults that may be enrolled in the MaineCare program must be frozen and the enrollment level may not be increased.  New enrollments of able-bodied, childless adults may not be made until the department has certified that the total enrollment in this category has been reduced by 10% from the level of enrollment at the date enrollment is frozen under this subsection.</w:t>
      </w:r>
      <w:r>
        <w:rPr>
          <w:rFonts w:ascii="Arial" w:eastAsia="Arial" w:hAnsi="Arial" w:cs="Arial"/>
        </w:rPr>
        <w:t xml:space="preserve"> </w:t>
      </w:r>
    </w:p>
    <w:p w:rsidR="00B7323F" w:rsidRPr="00323CC0" w:rsidP="00B7323F">
      <w:pPr>
        <w:ind w:left="360" w:firstLine="360"/>
        <w:rPr>
          <w:rFonts w:ascii="Arial" w:eastAsia="Arial" w:hAnsi="Arial" w:cs="Arial"/>
        </w:rPr>
      </w:pPr>
      <w:bookmarkStart w:id="17" w:name="_PAR__16_5f55202c_cdcf_472c_bb25_3caa35b"/>
      <w:bookmarkEnd w:id="16"/>
      <w:r w:rsidRPr="00323CC0">
        <w:rPr>
          <w:rFonts w:ascii="Arial" w:eastAsia="Arial" w:hAnsi="Arial" w:cs="Arial"/>
          <w:b/>
          <w:u w:val="single"/>
        </w:rPr>
        <w:t>2.  Enrollment reduction.</w:t>
      </w:r>
      <w:r>
        <w:rPr>
          <w:rFonts w:ascii="Arial" w:eastAsia="Arial" w:hAnsi="Arial" w:cs="Arial"/>
          <w:u w:val="single"/>
        </w:rPr>
        <w:t xml:space="preserve">  When an enrollee becomes ineligible for MaineCare coverage, that enrollee may not be automatically reenrolled.  When an enrollee's eligibility lapses due to income increase, employment or failure to renew enrollment, that enrollee's spot in the program may not be filled by a new enrollee.  The department shall prioritize program integrity measures to remove ineligible enrollees.</w:t>
      </w:r>
      <w:r>
        <w:rPr>
          <w:rFonts w:ascii="Arial" w:eastAsia="Arial" w:hAnsi="Arial" w:cs="Arial"/>
        </w:rPr>
        <w:t xml:space="preserve"> </w:t>
      </w:r>
    </w:p>
    <w:p w:rsidR="00B7323F" w:rsidRPr="00323CC0" w:rsidP="00B7323F">
      <w:pPr>
        <w:ind w:left="360" w:firstLine="360"/>
        <w:rPr>
          <w:rFonts w:ascii="Arial" w:eastAsia="Arial" w:hAnsi="Arial" w:cs="Arial"/>
        </w:rPr>
      </w:pPr>
      <w:bookmarkStart w:id="18" w:name="_PAR__17_aa083137_c21d_484e_aa4d_8e0ea59"/>
      <w:bookmarkEnd w:id="17"/>
      <w:r w:rsidRPr="00323CC0">
        <w:rPr>
          <w:rFonts w:ascii="Arial" w:eastAsia="Arial" w:hAnsi="Arial" w:cs="Arial"/>
          <w:b/>
          <w:u w:val="single"/>
        </w:rPr>
        <w:t>3.  Lifting enrollment freeze; permanent enrollment cap.</w:t>
      </w:r>
      <w:r>
        <w:rPr>
          <w:rFonts w:ascii="Arial" w:eastAsia="Arial" w:hAnsi="Arial" w:cs="Arial"/>
          <w:u w:val="single"/>
        </w:rPr>
        <w:t xml:space="preserve">  When the total enrollment of able-bodied, childless adults has declined by 10% from the number of enrollments at the time of the enrollment freeze pursuant to subsection 1, the reduced level of enrollment is </w:t>
      </w:r>
      <w:bookmarkStart w:id="19" w:name="_PAGE_SPLIT__76f15135_7026_4ff4_b97e_6ef"/>
      <w:bookmarkStart w:id="20" w:name="_PAGE__2_25be6be9_431b_4e49_88fe_54dc73d"/>
      <w:bookmarkStart w:id="21" w:name="_PAR__2_6a9bcf5d_7bde_4368_a0f5_c6674575"/>
      <w:bookmarkEnd w:id="1"/>
      <w:bookmarkEnd w:id="18"/>
      <w:r>
        <w:rPr>
          <w:rFonts w:ascii="Arial" w:eastAsia="Arial" w:hAnsi="Arial" w:cs="Arial"/>
          <w:u w:val="single"/>
        </w:rPr>
        <w:t>e</w:t>
      </w:r>
      <w:bookmarkEnd w:id="19"/>
      <w:r>
        <w:rPr>
          <w:rFonts w:ascii="Arial" w:eastAsia="Arial" w:hAnsi="Arial" w:cs="Arial"/>
          <w:u w:val="single"/>
        </w:rPr>
        <w:t>stablished as a new permanent cap on the level of enrollment for able-bodied, childless adults.  The enrollment cap established pursuant to this section may not be exceeded unless the Legislature specifically authorizes it.</w:t>
      </w:r>
      <w:r>
        <w:rPr>
          <w:rFonts w:ascii="Arial" w:eastAsia="Arial" w:hAnsi="Arial" w:cs="Arial"/>
        </w:rPr>
        <w:t xml:space="preserve"> </w:t>
      </w:r>
    </w:p>
    <w:p w:rsidR="00B7323F" w:rsidP="00B7323F">
      <w:pPr>
        <w:ind w:left="360" w:firstLine="360"/>
        <w:rPr>
          <w:rFonts w:ascii="Arial" w:eastAsia="Arial" w:hAnsi="Arial" w:cs="Arial"/>
        </w:rPr>
      </w:pPr>
      <w:bookmarkStart w:id="22" w:name="_PAR__3_641bd9df_a54f_46e9_8958_3128b83a"/>
      <w:bookmarkEnd w:id="21"/>
      <w:r w:rsidRPr="00323CC0">
        <w:rPr>
          <w:rFonts w:ascii="Arial" w:eastAsia="Arial" w:hAnsi="Arial" w:cs="Arial"/>
          <w:b/>
          <w:u w:val="single"/>
        </w:rPr>
        <w:t xml:space="preserve">4.  Legislative oversight; quarterly progress reports; additional program integrity measures.  </w:t>
      </w:r>
      <w:r>
        <w:rPr>
          <w:rFonts w:ascii="Arial" w:eastAsia="Arial" w:hAnsi="Arial" w:cs="Arial"/>
          <w:u w:val="single"/>
        </w:rPr>
        <w:t>Beginning 3 months after the effective date of this section, the department shall submit quarterly reports to the Legislature detailing the department's efforts to reduce the enrollment levels of able-bodied, childless adults under subsection 2.  If the Legislature determines that the department has failed to make meaningful progress, the Legislature may impose additional program integrity measures to ensure compliance.</w:t>
      </w:r>
    </w:p>
    <w:p w:rsidR="00B7323F" w:rsidP="00B7323F">
      <w:pPr>
        <w:ind w:left="360" w:firstLine="360"/>
        <w:rPr>
          <w:rFonts w:ascii="Arial" w:eastAsia="Arial" w:hAnsi="Arial" w:cs="Arial"/>
        </w:rPr>
      </w:pPr>
      <w:bookmarkStart w:id="23" w:name="_PAR__4_10c20336_f273_4361_b36d_479207f3"/>
      <w:bookmarkEnd w:id="22"/>
      <w:r w:rsidRPr="00665D47">
        <w:rPr>
          <w:rFonts w:ascii="Arial" w:eastAsia="Arial" w:hAnsi="Arial" w:cs="Arial"/>
          <w:b/>
          <w:sz w:val="24"/>
        </w:rPr>
        <w:t>Sec. IIII-2.  MaineCare enrollment freeze; Department of Health and Human Services to request waiver.</w:t>
      </w:r>
      <w:r w:rsidRPr="00665D47">
        <w:rPr>
          <w:rFonts w:ascii="Arial" w:eastAsia="Arial" w:hAnsi="Arial" w:cs="Arial"/>
        </w:rPr>
        <w:t xml:space="preserve">  No later than </w:t>
      </w:r>
      <w:r>
        <w:rPr>
          <w:rFonts w:ascii="Arial" w:eastAsia="Arial" w:hAnsi="Arial" w:cs="Arial"/>
        </w:rPr>
        <w:t>October</w:t>
      </w:r>
      <w:r w:rsidRPr="00665D47">
        <w:rPr>
          <w:rFonts w:ascii="Arial" w:eastAsia="Arial" w:hAnsi="Arial" w:cs="Arial"/>
        </w:rPr>
        <w:t xml:space="preserve"> 1, 202</w:t>
      </w:r>
      <w:r>
        <w:rPr>
          <w:rFonts w:ascii="Arial" w:eastAsia="Arial" w:hAnsi="Arial" w:cs="Arial"/>
        </w:rPr>
        <w:t>6</w:t>
      </w:r>
      <w:r w:rsidRPr="00665D47">
        <w:rPr>
          <w:rFonts w:ascii="Arial" w:eastAsia="Arial" w:hAnsi="Arial" w:cs="Arial"/>
        </w:rPr>
        <w:t xml:space="preserve">, the Department of Health and Human Services shall request federal approval from the United States Department of Health and Human Services, Centers for Medicare and Medicaid Services for a Section 1115 demonstration waiver under the United States Social Security Act that would temporarily freeze MaineCare enrollment for able-bodied, childless adults, reduce enrollment in that category over time and create a permanent enrollment cap at the reduced enrollment level after the freeze is lifted. </w:t>
      </w:r>
      <w:r>
        <w:rPr>
          <w:rFonts w:ascii="Arial" w:eastAsia="Arial" w:hAnsi="Arial" w:cs="Arial"/>
        </w:rPr>
        <w:t xml:space="preserve"> </w:t>
      </w:r>
      <w:r w:rsidRPr="00665D47">
        <w:rPr>
          <w:rFonts w:ascii="Arial" w:eastAsia="Arial" w:hAnsi="Arial" w:cs="Arial"/>
        </w:rPr>
        <w:t>If the waiver is approved, the department shall adopt rules to implement the enrollment freeze no later than 90 days after approval.  Rules adopted pursuant to this section are routine technical rules as defined in the Maine Revised Statutes, Title 5, chapter 375, subchapter 2-A.</w:t>
      </w:r>
    </w:p>
    <w:p w:rsidR="00B7323F" w:rsidP="00B7323F">
      <w:pPr>
        <w:ind w:left="360" w:firstLine="360"/>
        <w:rPr>
          <w:rFonts w:ascii="Arial" w:eastAsia="Arial" w:hAnsi="Arial" w:cs="Arial"/>
        </w:rPr>
      </w:pPr>
      <w:bookmarkStart w:id="24" w:name="_PAR__5_2b28bc16_7294_4918_a412_a5dc2d35"/>
      <w:bookmarkEnd w:id="23"/>
      <w:r w:rsidRPr="00665D47">
        <w:rPr>
          <w:rFonts w:ascii="Arial" w:eastAsia="Arial" w:hAnsi="Arial" w:cs="Arial"/>
          <w:b/>
          <w:sz w:val="24"/>
        </w:rPr>
        <w:t>Sec. IIII-3.  MaineCare program review.</w:t>
      </w:r>
      <w:r>
        <w:rPr>
          <w:rFonts w:ascii="Arial" w:eastAsia="Arial" w:hAnsi="Arial" w:cs="Arial"/>
        </w:rPr>
        <w:t xml:space="preserve">  The Department of Health and Human Services shall engage a 3rd-party independent entity, referred to in this section as "the independent entity," to conduct a review of the MaineCare program for fraud, waste and abuse pursuant to this section. </w:t>
      </w:r>
    </w:p>
    <w:p w:rsidR="00B7323F" w:rsidP="00B7323F">
      <w:pPr>
        <w:ind w:left="360" w:firstLine="360"/>
        <w:rPr>
          <w:rFonts w:ascii="Arial" w:eastAsia="Arial" w:hAnsi="Arial" w:cs="Arial"/>
        </w:rPr>
      </w:pPr>
      <w:bookmarkStart w:id="25" w:name="_PAR__6_afa1ee1e_d19e_4c66_b00c_f872945a"/>
      <w:bookmarkEnd w:id="24"/>
      <w:r w:rsidRPr="00665D47">
        <w:rPr>
          <w:rFonts w:ascii="Arial" w:eastAsia="Arial" w:hAnsi="Arial" w:cs="Arial"/>
          <w:b/>
        </w:rPr>
        <w:t>1.  Selection of independent entity.</w:t>
      </w:r>
      <w:r>
        <w:rPr>
          <w:rFonts w:ascii="Arial" w:eastAsia="Arial" w:hAnsi="Arial" w:cs="Arial"/>
        </w:rPr>
        <w:t xml:space="preserve">  Within 30 days of the effective date of this Part, the department shall issue a request for proposals to determine, through a competitive bidding process, the independent entity to conduct the review required by this section. </w:t>
      </w:r>
    </w:p>
    <w:p w:rsidR="00B7323F" w:rsidP="00B7323F">
      <w:pPr>
        <w:ind w:left="360" w:firstLine="360"/>
        <w:rPr>
          <w:rFonts w:ascii="Arial" w:eastAsia="Arial" w:hAnsi="Arial" w:cs="Arial"/>
        </w:rPr>
      </w:pPr>
      <w:bookmarkStart w:id="26" w:name="_PAR__7_79f8980c_3fb1_4502_80b2_5525ad62"/>
      <w:bookmarkEnd w:id="25"/>
      <w:r w:rsidRPr="00665D47">
        <w:rPr>
          <w:rFonts w:ascii="Arial" w:eastAsia="Arial" w:hAnsi="Arial" w:cs="Arial"/>
          <w:b/>
        </w:rPr>
        <w:t>2.  Duties of independent entity.</w:t>
      </w:r>
      <w:r>
        <w:rPr>
          <w:rFonts w:ascii="Arial" w:eastAsia="Arial" w:hAnsi="Arial" w:cs="Arial"/>
        </w:rPr>
        <w:t xml:space="preserve">  The independent entity chosen shall:</w:t>
      </w:r>
    </w:p>
    <w:p w:rsidR="00B7323F" w:rsidP="00B7323F">
      <w:pPr>
        <w:ind w:left="720"/>
        <w:rPr>
          <w:rFonts w:ascii="Arial" w:eastAsia="Arial" w:hAnsi="Arial" w:cs="Arial"/>
        </w:rPr>
      </w:pPr>
      <w:bookmarkStart w:id="27" w:name="_PAR__8_5ba4576e_e7eb_4ae0_893c_0948c9d4"/>
      <w:bookmarkEnd w:id="26"/>
      <w:r>
        <w:rPr>
          <w:rFonts w:ascii="Arial" w:eastAsia="Arial" w:hAnsi="Arial" w:cs="Arial"/>
        </w:rPr>
        <w:t xml:space="preserve">A.  Review and assess current processes, procedures and capacity in place to identify fraud, waste and abuse, including but not limited to the department's Fraud Investigation and Recovery Unit, the MaineCare program integrity unit, the Medicaid Eligibility Quality Control program and the efficacy of the State's implementation of the payment error rate measurement process; </w:t>
      </w:r>
    </w:p>
    <w:p w:rsidR="00B7323F" w:rsidP="00B7323F">
      <w:pPr>
        <w:ind w:left="720"/>
        <w:rPr>
          <w:rFonts w:ascii="Arial" w:eastAsia="Arial" w:hAnsi="Arial" w:cs="Arial"/>
        </w:rPr>
      </w:pPr>
      <w:bookmarkStart w:id="28" w:name="_PAR__9_f4b19a1a_5920_43d5_97cb_b1329ae3"/>
      <w:bookmarkEnd w:id="27"/>
      <w:r>
        <w:rPr>
          <w:rFonts w:ascii="Arial" w:eastAsia="Arial" w:hAnsi="Arial" w:cs="Arial"/>
        </w:rPr>
        <w:t>B.  Identify best practices in state fraud, waste and abuse prevention, identification and resolution;</w:t>
      </w:r>
    </w:p>
    <w:p w:rsidR="00B7323F" w:rsidP="00B7323F">
      <w:pPr>
        <w:ind w:left="720"/>
        <w:rPr>
          <w:rFonts w:ascii="Arial" w:eastAsia="Arial" w:hAnsi="Arial" w:cs="Arial"/>
        </w:rPr>
      </w:pPr>
      <w:bookmarkStart w:id="29" w:name="_PAR__10_fe29ab57_1558_413e_b0a0_7001b20"/>
      <w:bookmarkEnd w:id="28"/>
      <w:r>
        <w:rPr>
          <w:rFonts w:ascii="Arial" w:eastAsia="Arial" w:hAnsi="Arial" w:cs="Arial"/>
        </w:rPr>
        <w:t xml:space="preserve">C.  </w:t>
      </w:r>
      <w:r w:rsidRPr="00665D47">
        <w:rPr>
          <w:rFonts w:ascii="Arial" w:eastAsia="Arial" w:hAnsi="Arial" w:cs="Arial"/>
        </w:rPr>
        <w:t xml:space="preserve">Use any available prior state and federal audits, reviews, investigations, reports, data and information, including but not limited to audit findings, claims data, provider records, program integrity reports, </w:t>
      </w:r>
      <w:r>
        <w:rPr>
          <w:rFonts w:ascii="Arial" w:eastAsia="Arial" w:hAnsi="Arial" w:cs="Arial"/>
        </w:rPr>
        <w:t>United States Department of Health and Human Services,</w:t>
      </w:r>
      <w:r w:rsidRPr="00665D47">
        <w:rPr>
          <w:rFonts w:ascii="Arial" w:eastAsia="Arial" w:hAnsi="Arial" w:cs="Arial"/>
        </w:rPr>
        <w:t xml:space="preserve"> Centers for Medicare and Medicaid Services' communications and whistleblower complaints, to identify systemic vulnerabilities, patterns of fraud, waste and abuse and gaps in oversight; and</w:t>
      </w:r>
    </w:p>
    <w:p w:rsidR="00B7323F" w:rsidP="00B7323F">
      <w:pPr>
        <w:ind w:left="720"/>
        <w:rPr>
          <w:rFonts w:ascii="Arial" w:eastAsia="Arial" w:hAnsi="Arial" w:cs="Arial"/>
        </w:rPr>
      </w:pPr>
      <w:bookmarkStart w:id="30" w:name="_PAR__11_02d72e87_3668_45b8_92a1_2c846d5"/>
      <w:bookmarkEnd w:id="29"/>
      <w:r>
        <w:rPr>
          <w:rFonts w:ascii="Arial" w:eastAsia="Arial" w:hAnsi="Arial" w:cs="Arial"/>
        </w:rPr>
        <w:t xml:space="preserve">D.  Make recommendations to strengthen the State's practices for preventing, identifying and addressing fraud, waste and abuse in Medicaid. </w:t>
      </w:r>
    </w:p>
    <w:p w:rsidR="00B7323F" w:rsidP="00B7323F">
      <w:pPr>
        <w:ind w:left="360" w:firstLine="360"/>
        <w:rPr>
          <w:rFonts w:ascii="Arial" w:eastAsia="Arial" w:hAnsi="Arial" w:cs="Arial"/>
        </w:rPr>
      </w:pPr>
      <w:bookmarkStart w:id="31" w:name="_PAGE__3_948aa19e_267f_41b9_b29e_f69327f"/>
      <w:bookmarkStart w:id="32" w:name="_PAR__2_0f6f9f65_9e18_40fa_bd07_b4da639a"/>
      <w:bookmarkEnd w:id="20"/>
      <w:bookmarkEnd w:id="30"/>
      <w:r w:rsidRPr="00665D47">
        <w:rPr>
          <w:rFonts w:ascii="Arial" w:eastAsia="Arial" w:hAnsi="Arial" w:cs="Arial"/>
          <w:b/>
        </w:rPr>
        <w:t>3.  Report by independent entity.</w:t>
      </w:r>
      <w:r>
        <w:rPr>
          <w:rFonts w:ascii="Arial" w:eastAsia="Arial" w:hAnsi="Arial" w:cs="Arial"/>
        </w:rPr>
        <w:t xml:space="preserve">  The independent entity shall provide the department with a final report regarding the independent entity's findings no later than December 29, 2026.</w:t>
      </w:r>
    </w:p>
    <w:p w:rsidR="00B7323F" w:rsidP="00B7323F">
      <w:pPr>
        <w:ind w:left="360" w:firstLine="360"/>
        <w:rPr>
          <w:rFonts w:ascii="Arial" w:eastAsia="Arial" w:hAnsi="Arial" w:cs="Arial"/>
        </w:rPr>
      </w:pPr>
      <w:bookmarkStart w:id="33" w:name="_PAR__3_e3643e7a_5d02_4ef6_a5e2_38d0777e"/>
      <w:bookmarkEnd w:id="32"/>
      <w:r w:rsidRPr="00665D47">
        <w:rPr>
          <w:rFonts w:ascii="Arial" w:eastAsia="Arial" w:hAnsi="Arial" w:cs="Arial"/>
          <w:b/>
        </w:rPr>
        <w:t>4.  Report by Department of Health and Human Services regarding MaineCare fraud, waste and abuse.</w:t>
      </w:r>
      <w:r w:rsidRPr="00665D47">
        <w:rPr>
          <w:rFonts w:ascii="Arial" w:eastAsia="Arial" w:hAnsi="Arial" w:cs="Arial"/>
        </w:rPr>
        <w:t xml:space="preserve">  The Department of Health and Human Services shall submit a report regarding the MaineCare program review for fraud, waste and abuse conducted pursuant to </w:t>
      </w:r>
      <w:r>
        <w:rPr>
          <w:rFonts w:ascii="Arial" w:eastAsia="Arial" w:hAnsi="Arial" w:cs="Arial"/>
        </w:rPr>
        <w:t>this section</w:t>
      </w:r>
      <w:r w:rsidRPr="00665D47">
        <w:rPr>
          <w:rFonts w:ascii="Arial" w:eastAsia="Arial" w:hAnsi="Arial" w:cs="Arial"/>
        </w:rPr>
        <w:t xml:space="preserve"> and any necessary implementing legislation to the </w:t>
      </w:r>
      <w:r>
        <w:rPr>
          <w:rFonts w:ascii="Arial" w:eastAsia="Arial" w:hAnsi="Arial" w:cs="Arial"/>
        </w:rPr>
        <w:t>j</w:t>
      </w:r>
      <w:r w:rsidRPr="00665D47">
        <w:rPr>
          <w:rFonts w:ascii="Arial" w:eastAsia="Arial" w:hAnsi="Arial" w:cs="Arial"/>
        </w:rPr>
        <w:t xml:space="preserve">oint </w:t>
      </w:r>
      <w:r>
        <w:rPr>
          <w:rFonts w:ascii="Arial" w:eastAsia="Arial" w:hAnsi="Arial" w:cs="Arial"/>
        </w:rPr>
        <w:t>s</w:t>
      </w:r>
      <w:r w:rsidRPr="00665D47">
        <w:rPr>
          <w:rFonts w:ascii="Arial" w:eastAsia="Arial" w:hAnsi="Arial" w:cs="Arial"/>
        </w:rPr>
        <w:t xml:space="preserve">tanding </w:t>
      </w:r>
      <w:r>
        <w:rPr>
          <w:rFonts w:ascii="Arial" w:eastAsia="Arial" w:hAnsi="Arial" w:cs="Arial"/>
        </w:rPr>
        <w:t>c</w:t>
      </w:r>
      <w:r w:rsidRPr="00665D47">
        <w:rPr>
          <w:rFonts w:ascii="Arial" w:eastAsia="Arial" w:hAnsi="Arial" w:cs="Arial"/>
        </w:rPr>
        <w:t xml:space="preserve">ommittee </w:t>
      </w:r>
      <w:r>
        <w:rPr>
          <w:rFonts w:ascii="Arial" w:eastAsia="Arial" w:hAnsi="Arial" w:cs="Arial"/>
        </w:rPr>
        <w:t>of the Legislature having jurisdiction over</w:t>
      </w:r>
      <w:r w:rsidRPr="00665D47">
        <w:rPr>
          <w:rFonts w:ascii="Arial" w:eastAsia="Arial" w:hAnsi="Arial" w:cs="Arial"/>
        </w:rPr>
        <w:t xml:space="preserve"> </w:t>
      </w:r>
      <w:r>
        <w:rPr>
          <w:rFonts w:ascii="Arial" w:eastAsia="Arial" w:hAnsi="Arial" w:cs="Arial"/>
        </w:rPr>
        <w:t>a</w:t>
      </w:r>
      <w:r w:rsidRPr="00665D47">
        <w:rPr>
          <w:rFonts w:ascii="Arial" w:eastAsia="Arial" w:hAnsi="Arial" w:cs="Arial"/>
        </w:rPr>
        <w:t xml:space="preserve">ppropriations and </w:t>
      </w:r>
      <w:r>
        <w:rPr>
          <w:rFonts w:ascii="Arial" w:eastAsia="Arial" w:hAnsi="Arial" w:cs="Arial"/>
        </w:rPr>
        <w:t>f</w:t>
      </w:r>
      <w:r w:rsidRPr="00665D47">
        <w:rPr>
          <w:rFonts w:ascii="Arial" w:eastAsia="Arial" w:hAnsi="Arial" w:cs="Arial"/>
        </w:rPr>
        <w:t xml:space="preserve">inancial </w:t>
      </w:r>
      <w:r>
        <w:rPr>
          <w:rFonts w:ascii="Arial" w:eastAsia="Arial" w:hAnsi="Arial" w:cs="Arial"/>
        </w:rPr>
        <w:t>a</w:t>
      </w:r>
      <w:r w:rsidRPr="00665D47">
        <w:rPr>
          <w:rFonts w:ascii="Arial" w:eastAsia="Arial" w:hAnsi="Arial" w:cs="Arial"/>
        </w:rPr>
        <w:t>ffairs by January 5, 202</w:t>
      </w:r>
      <w:r>
        <w:rPr>
          <w:rFonts w:ascii="Arial" w:eastAsia="Arial" w:hAnsi="Arial" w:cs="Arial"/>
        </w:rPr>
        <w:t>7</w:t>
      </w:r>
      <w:r w:rsidRPr="00665D47">
        <w:rPr>
          <w:rFonts w:ascii="Arial" w:eastAsia="Arial" w:hAnsi="Arial" w:cs="Arial"/>
        </w:rPr>
        <w:t xml:space="preserve">. </w:t>
      </w:r>
      <w:r>
        <w:rPr>
          <w:rFonts w:ascii="Arial" w:eastAsia="Arial" w:hAnsi="Arial" w:cs="Arial"/>
        </w:rPr>
        <w:t xml:space="preserve"> </w:t>
      </w:r>
      <w:r w:rsidRPr="00665D47">
        <w:rPr>
          <w:rFonts w:ascii="Arial" w:eastAsia="Arial" w:hAnsi="Arial" w:cs="Arial"/>
        </w:rPr>
        <w:t xml:space="preserve">The joint standing committee shall report out a bill to the </w:t>
      </w:r>
      <w:r>
        <w:rPr>
          <w:rFonts w:ascii="Arial" w:eastAsia="Arial" w:hAnsi="Arial" w:cs="Arial"/>
        </w:rPr>
        <w:t>133rd</w:t>
      </w:r>
      <w:r w:rsidRPr="00665D47">
        <w:rPr>
          <w:rFonts w:ascii="Arial" w:eastAsia="Arial" w:hAnsi="Arial" w:cs="Arial"/>
        </w:rPr>
        <w:t xml:space="preserve"> Legislature </w:t>
      </w:r>
      <w:r>
        <w:rPr>
          <w:rFonts w:ascii="Arial" w:eastAsia="Arial" w:hAnsi="Arial" w:cs="Arial"/>
        </w:rPr>
        <w:t>in 2027.</w:t>
      </w:r>
    </w:p>
    <w:p w:rsidR="00B7323F" w:rsidP="00B7323F">
      <w:pPr>
        <w:ind w:left="360" w:firstLine="360"/>
        <w:rPr>
          <w:rFonts w:ascii="Arial" w:eastAsia="Arial" w:hAnsi="Arial" w:cs="Arial"/>
        </w:rPr>
      </w:pPr>
      <w:bookmarkStart w:id="34" w:name="_PAR__4_3963f2dd_d878_458f_aad9_00d8a09e"/>
      <w:bookmarkEnd w:id="33"/>
      <w:r>
        <w:rPr>
          <w:rFonts w:ascii="Arial" w:eastAsia="Arial" w:hAnsi="Arial" w:cs="Arial"/>
          <w:b/>
          <w:sz w:val="24"/>
        </w:rPr>
        <w:t xml:space="preserve">Sec. IIII-4.  Contingent effective date.  </w:t>
      </w:r>
      <w:r>
        <w:rPr>
          <w:rFonts w:ascii="Arial" w:eastAsia="Arial" w:hAnsi="Arial" w:cs="Arial"/>
        </w:rPr>
        <w:t>That section of this Part that enacts the Maine Revised Statutes, Title 22, section 3198 does not take effect unless approval of a Section 1115 demonstration waiver pursuant to section 2 of this Part is received.</w:t>
      </w:r>
    </w:p>
    <w:p w:rsidR="00B7323F" w:rsidP="00B7323F">
      <w:pPr>
        <w:ind w:left="360" w:firstLine="360"/>
        <w:rPr>
          <w:rFonts w:ascii="Arial" w:eastAsia="Arial" w:hAnsi="Arial" w:cs="Arial"/>
        </w:rPr>
      </w:pPr>
      <w:bookmarkStart w:id="35" w:name="_PAR__5_a4b51300_7229_492e_aa1f_0f5f8f8e"/>
      <w:bookmarkEnd w:id="34"/>
      <w:r>
        <w:rPr>
          <w:rFonts w:ascii="Arial" w:eastAsia="Arial" w:hAnsi="Arial" w:cs="Arial"/>
        </w:rPr>
        <w:t>The Commissioner of Health and Human Services shall notify the Secretary of State, the Secretary of the Senate, the Clerk of the House and the Revisor of Statutes when approval sought under section 2 of this Part is received.'</w:t>
      </w:r>
    </w:p>
    <w:p w:rsidR="00B7323F" w:rsidP="00B7323F">
      <w:pPr>
        <w:ind w:left="360" w:firstLine="360"/>
        <w:rPr>
          <w:rFonts w:ascii="Arial" w:eastAsia="Arial" w:hAnsi="Arial" w:cs="Arial"/>
        </w:rPr>
      </w:pPr>
      <w:bookmarkStart w:id="36" w:name="_INSTRUCTION__ffabe8a5_2adf_4adc_8254_16"/>
      <w:bookmarkStart w:id="37" w:name="_PAR__6_049b9d9d_f4d7_4a91_8c4d_2c090e56"/>
      <w:bookmarkEnd w:id="10"/>
      <w:bookmarkEnd w:id="35"/>
      <w:r>
        <w:rPr>
          <w:rFonts w:ascii="Arial" w:eastAsia="Arial" w:hAnsi="Arial" w:cs="Arial"/>
        </w:rPr>
        <w:t>Amend the amendment by relettering or renumbering any nonconsecutive Part letter or section number to read consecutively.</w:t>
      </w:r>
    </w:p>
    <w:p w:rsidR="00B7323F" w:rsidP="00B7323F">
      <w:pPr>
        <w:keepNext/>
        <w:spacing w:before="240"/>
        <w:ind w:left="360"/>
        <w:jc w:val="center"/>
        <w:rPr>
          <w:rFonts w:ascii="Arial" w:eastAsia="Arial" w:hAnsi="Arial" w:cs="Arial"/>
        </w:rPr>
      </w:pPr>
      <w:bookmarkStart w:id="38" w:name="_SUMMARY__53984c1c_faa3_43c5_afad_7d9cdd"/>
      <w:bookmarkStart w:id="39" w:name="_PAR__7_839872b7_3a7e_49d7_9bd3_e619768f"/>
      <w:bookmarkEnd w:id="36"/>
      <w:bookmarkEnd w:id="37"/>
      <w:r>
        <w:rPr>
          <w:rFonts w:ascii="Arial" w:eastAsia="Arial" w:hAnsi="Arial" w:cs="Arial"/>
          <w:b/>
          <w:sz w:val="24"/>
        </w:rPr>
        <w:t>SUMMARY</w:t>
      </w:r>
    </w:p>
    <w:p w:rsidR="00B7323F" w:rsidP="00B7323F">
      <w:pPr>
        <w:ind w:left="360" w:firstLine="360"/>
        <w:rPr>
          <w:rFonts w:ascii="Arial" w:eastAsia="Arial" w:hAnsi="Arial" w:cs="Arial"/>
        </w:rPr>
      </w:pPr>
      <w:bookmarkStart w:id="40" w:name="_PAR__8_9610030a_eb14_4c51_9109_ecc09eed"/>
      <w:bookmarkEnd w:id="39"/>
      <w:r>
        <w:rPr>
          <w:rFonts w:ascii="Arial" w:eastAsia="Arial" w:hAnsi="Arial" w:cs="Arial"/>
        </w:rPr>
        <w:t>This amendment requires the Department of Health and Human Services to request a demonstration waiver from the United States Department of Health and Human Services, Centers for Medicare and Medicaid Services to place a freeze on the level of MaineCare enrollment by enrollees who are able-bodied, childless adults.  If the waiver is approved, the amendment would require a freeze on enrollment for this classification of enrollees within 30 days of the effective date of this legislation and require the department to gradually reduce enrollment by 10%.  When enrollment has been reduced by 10%, the level of enrollment at that time becomes the new permanent cap on enrollment for that classification of enrollees and the freeze is lifted.  The department must submit to the Legislature quarterly reports of its progress in reducing enrollment.  If the department's progress is not satisfactory, the Legislature may impose additional program integrity measures to ensure compliance.</w:t>
      </w:r>
    </w:p>
    <w:p w:rsidR="00B7323F" w:rsidP="00B7323F">
      <w:pPr>
        <w:keepNext/>
        <w:ind w:left="360" w:firstLine="360"/>
        <w:rPr>
          <w:rFonts w:ascii="Arial" w:eastAsia="Arial" w:hAnsi="Arial" w:cs="Arial"/>
        </w:rPr>
      </w:pPr>
      <w:bookmarkStart w:id="41" w:name="_PAR__9_3d194990_780d_4c7c_a4c5_fd5069f0"/>
      <w:bookmarkEnd w:id="40"/>
      <w:r>
        <w:rPr>
          <w:rFonts w:ascii="Arial" w:eastAsia="Arial" w:hAnsi="Arial" w:cs="Arial"/>
        </w:rPr>
        <w:t xml:space="preserve">This amendment also requires the Department of Health and Human Services to contract, through a competitive bidding process, with a 3rd-party independent entity to conduct a review of the MaineCare program for fraud, waste and abuse, based on specified criteria, and to report to the department with its findings.  It requires the department to provide a report regarding the findings of the review of the MaineCare program for fraud, waste and abuse to the joint standing committee of the Legislature having jurisdiction over appropriations and financial affairs, along with any necessary implementing legislation.  </w:t>
      </w:r>
      <w:bookmarkStart w:id="42" w:name="_PAGE_SPLIT__8e8f19b9_a13b_4da0_8d70_1c6"/>
      <w:bookmarkStart w:id="43" w:name="_PAGE__4_4b5faf91_2b41_49c0_afa3_6d68856"/>
      <w:bookmarkStart w:id="44" w:name="_PAR__2_c9fa81b2_28b6_493f_9ec3_0b74b040"/>
      <w:bookmarkEnd w:id="31"/>
      <w:bookmarkEnd w:id="41"/>
      <w:r>
        <w:rPr>
          <w:rFonts w:ascii="Arial" w:eastAsia="Arial" w:hAnsi="Arial" w:cs="Arial"/>
        </w:rPr>
        <w:t>T</w:t>
      </w:r>
      <w:bookmarkEnd w:id="42"/>
      <w:r>
        <w:rPr>
          <w:rFonts w:ascii="Arial" w:eastAsia="Arial" w:hAnsi="Arial" w:cs="Arial"/>
        </w:rPr>
        <w:t>he joint standing committee is required to report out a bill based on the report to the 133rd Legislature in 2027.</w:t>
      </w:r>
    </w:p>
    <w:p w:rsidR="00B7323F" w:rsidP="00B7323F">
      <w:pPr>
        <w:keepNext/>
        <w:spacing w:before="400" w:after="120" w:line="259" w:lineRule="auto"/>
        <w:ind w:left="360"/>
        <w:rPr>
          <w:rFonts w:ascii="Arial" w:eastAsia="Arial" w:hAnsi="Arial" w:cs="Arial"/>
          <w:b/>
        </w:rPr>
      </w:pPr>
      <w:bookmarkStart w:id="45" w:name="_SPONSOR_BLOCK__1e3b6066_3942_4f34_aa53_"/>
      <w:bookmarkStart w:id="46" w:name="_PAR__3_76ccce89_7ba5_40ac_988a_047ab0a4"/>
      <w:bookmarkEnd w:id="38"/>
      <w:bookmarkEnd w:id="44"/>
      <w:r>
        <w:rPr>
          <w:rFonts w:ascii="Arial" w:eastAsia="Arial" w:hAnsi="Arial" w:cs="Arial"/>
          <w:b/>
        </w:rPr>
        <w:t>SPONSORED BY: ___________________________________</w:t>
      </w:r>
    </w:p>
    <w:p w:rsidR="00B7323F" w:rsidP="00B7323F">
      <w:pPr>
        <w:keepNext/>
        <w:spacing w:after="120" w:line="259" w:lineRule="auto"/>
        <w:ind w:left="720"/>
        <w:rPr>
          <w:rFonts w:ascii="Arial" w:eastAsia="Arial" w:hAnsi="Arial" w:cs="Arial"/>
          <w:b/>
        </w:rPr>
      </w:pPr>
      <w:bookmarkStart w:id="47" w:name="_PAR__4_4c78124b_560e_4a70_b578_2aec73f1"/>
      <w:bookmarkEnd w:id="46"/>
      <w:r>
        <w:rPr>
          <w:rFonts w:ascii="Arial" w:eastAsia="Arial" w:hAnsi="Arial" w:cs="Arial"/>
          <w:b/>
        </w:rPr>
        <w:t>(Senator STEWART, T.)</w:t>
      </w:r>
    </w:p>
    <w:p w:rsidR="00000000" w:rsidRPr="00B7323F" w:rsidP="00B7323F">
      <w:pPr>
        <w:spacing w:after="120" w:line="259" w:lineRule="auto"/>
        <w:ind w:left="1080"/>
        <w:rPr>
          <w:rFonts w:ascii="Arial" w:eastAsia="Arial" w:hAnsi="Arial" w:cs="Arial"/>
          <w:b/>
        </w:rPr>
      </w:pPr>
      <w:bookmarkStart w:id="48" w:name="_PAR__5_be3f803b_930f_4d75_9f80_bb63e772"/>
      <w:bookmarkEnd w:id="47"/>
      <w:r>
        <w:rPr>
          <w:rFonts w:ascii="Arial" w:eastAsia="Arial" w:hAnsi="Arial" w:cs="Arial"/>
          <w:b/>
        </w:rPr>
        <w:t>COUNTY: Aroostook</w:t>
      </w:r>
      <w:bookmarkEnd w:id="43"/>
      <w:bookmarkEnd w:id="45"/>
      <w:bookmarkEnd w:id="4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35 - 132nd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23CC0"/>
    <w:rsid w:val="00361F3E"/>
    <w:rsid w:val="003D0121"/>
    <w:rsid w:val="003F2563"/>
    <w:rsid w:val="003F315D"/>
    <w:rsid w:val="00417176"/>
    <w:rsid w:val="00424146"/>
    <w:rsid w:val="004A4378"/>
    <w:rsid w:val="005500BF"/>
    <w:rsid w:val="005568B1"/>
    <w:rsid w:val="00564135"/>
    <w:rsid w:val="00574B75"/>
    <w:rsid w:val="00610E2A"/>
    <w:rsid w:val="00641982"/>
    <w:rsid w:val="00665D47"/>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7323F"/>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