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Required Funding for the Reimbursement of Assigned Counsel and to Develop the Public Defender Office for Cumberland County</w:t>
      </w:r>
    </w:p>
    <w:p w:rsidR="00AA6D95" w:rsidP="00AA6D95">
      <w:pPr>
        <w:spacing w:after="240"/>
        <w:ind w:left="360"/>
        <w:jc w:val="right"/>
        <w:rPr>
          <w:rFonts w:ascii="Arial" w:eastAsia="Arial" w:hAnsi="Arial" w:cs="Arial"/>
          <w:caps/>
        </w:rPr>
      </w:pPr>
      <w:bookmarkStart w:id="0" w:name="_AMEND_TITLE__698f8cec_ad54_4397_9aa2_79"/>
      <w:bookmarkStart w:id="1" w:name="_PAGE__1_c86e4195_c4a6_4dce_a1f9_a7c042f"/>
      <w:bookmarkStart w:id="2" w:name="_PAR__2_42bd2802_1864_4bc6_ac74_550ff45f"/>
      <w:r>
        <w:rPr>
          <w:rFonts w:ascii="Arial" w:eastAsia="Arial" w:hAnsi="Arial" w:cs="Arial"/>
          <w:caps/>
        </w:rPr>
        <w:t>L.D. 2059</w:t>
      </w:r>
    </w:p>
    <w:p w:rsidR="00AA6D95" w:rsidP="00AA6D95">
      <w:pPr>
        <w:tabs>
          <w:tab w:val="right" w:pos="8928"/>
        </w:tabs>
        <w:spacing w:after="360"/>
        <w:ind w:left="360"/>
        <w:rPr>
          <w:rFonts w:ascii="Arial" w:eastAsia="Arial" w:hAnsi="Arial" w:cs="Arial"/>
        </w:rPr>
      </w:pPr>
      <w:bookmarkStart w:id="3" w:name="_PAR__3_e18def2f_f67e_4ab5_a2ee_f3797cb1"/>
      <w:bookmarkEnd w:id="2"/>
      <w:r>
        <w:rPr>
          <w:rFonts w:ascii="Arial" w:eastAsia="Arial" w:hAnsi="Arial" w:cs="Arial"/>
        </w:rPr>
        <w:t>Date:</w:t>
      </w:r>
      <w:r>
        <w:rPr>
          <w:rFonts w:ascii="Arial" w:eastAsia="Arial" w:hAnsi="Arial" w:cs="Arial"/>
        </w:rPr>
        <w:tab/>
        <w:t>(Filing No. S-         )</w:t>
      </w:r>
    </w:p>
    <w:p w:rsidR="00AA6D95" w:rsidP="00AA6D95">
      <w:pPr>
        <w:spacing w:before="600" w:after="300"/>
        <w:ind w:left="360"/>
        <w:jc w:val="center"/>
        <w:outlineLvl w:val="0"/>
        <w:rPr>
          <w:rFonts w:ascii="Arial" w:eastAsia="Arial" w:hAnsi="Arial" w:cs="Arial"/>
        </w:rPr>
      </w:pPr>
      <w:bookmarkStart w:id="4" w:name="_PAR__4_dd7ffc28_a22d_426d_a6eb_0118f105"/>
      <w:bookmarkEnd w:id="3"/>
      <w:r>
        <w:rPr>
          <w:rFonts w:ascii="Arial" w:eastAsia="Arial" w:hAnsi="Arial" w:cs="Arial"/>
          <w:b/>
          <w:caps/>
          <w:sz w:val="24"/>
          <w:szCs w:val="32"/>
        </w:rPr>
        <w:t xml:space="preserve">Judiciary </w:t>
      </w:r>
    </w:p>
    <w:p w:rsidR="00AA6D95" w:rsidP="00AA6D95">
      <w:pPr>
        <w:spacing w:before="60" w:after="60"/>
        <w:ind w:left="720"/>
        <w:rPr>
          <w:rFonts w:ascii="Arial" w:eastAsia="Arial" w:hAnsi="Arial" w:cs="Arial"/>
        </w:rPr>
      </w:pPr>
      <w:bookmarkStart w:id="5" w:name="_PAR__5_be79c743_731b_4305_8a85_92d542f7"/>
      <w:bookmarkEnd w:id="4"/>
      <w:r>
        <w:rPr>
          <w:rFonts w:ascii="Arial" w:eastAsia="Arial" w:hAnsi="Arial" w:cs="Arial"/>
        </w:rPr>
        <w:t>Reproduced and distributed under the direction of the Secretary of the Senate.</w:t>
      </w:r>
    </w:p>
    <w:p w:rsidR="00AA6D95" w:rsidP="00AA6D95">
      <w:pPr>
        <w:spacing w:before="160" w:after="0"/>
        <w:ind w:left="360"/>
        <w:jc w:val="center"/>
        <w:outlineLvl w:val="0"/>
        <w:rPr>
          <w:rFonts w:ascii="Arial" w:eastAsia="Arial" w:hAnsi="Arial" w:cs="Arial"/>
          <w:b/>
          <w:caps/>
          <w:sz w:val="24"/>
          <w:szCs w:val="32"/>
        </w:rPr>
      </w:pPr>
      <w:bookmarkStart w:id="6" w:name="_PAR__6_52e8062b_30ca_4284_aa4d_44393e2f"/>
      <w:bookmarkEnd w:id="5"/>
      <w:r>
        <w:rPr>
          <w:rFonts w:ascii="Arial" w:eastAsia="Arial" w:hAnsi="Arial" w:cs="Arial"/>
          <w:b/>
          <w:caps/>
          <w:sz w:val="24"/>
          <w:szCs w:val="32"/>
        </w:rPr>
        <w:t>STATE OF MAINE</w:t>
      </w:r>
    </w:p>
    <w:p w:rsidR="00AA6D95" w:rsidP="00AA6D95">
      <w:pPr>
        <w:spacing w:after="0"/>
        <w:ind w:left="360"/>
        <w:jc w:val="center"/>
        <w:outlineLvl w:val="0"/>
        <w:rPr>
          <w:rFonts w:ascii="Arial" w:eastAsia="Arial" w:hAnsi="Arial" w:cs="Arial"/>
          <w:b/>
          <w:caps/>
          <w:sz w:val="24"/>
          <w:szCs w:val="32"/>
        </w:rPr>
      </w:pPr>
      <w:bookmarkStart w:id="7" w:name="_PAR__7_27316b39_080b_4673_bd58_8ff945f7"/>
      <w:bookmarkEnd w:id="6"/>
      <w:r>
        <w:rPr>
          <w:rFonts w:ascii="Arial" w:eastAsia="Arial" w:hAnsi="Arial" w:cs="Arial"/>
          <w:b/>
          <w:caps/>
          <w:sz w:val="24"/>
          <w:szCs w:val="32"/>
        </w:rPr>
        <w:t>SENATE</w:t>
      </w:r>
    </w:p>
    <w:p w:rsidR="00AA6D95" w:rsidP="00AA6D95">
      <w:pPr>
        <w:spacing w:after="0"/>
        <w:ind w:left="360"/>
        <w:jc w:val="center"/>
        <w:outlineLvl w:val="0"/>
        <w:rPr>
          <w:rFonts w:ascii="Arial" w:eastAsia="Arial" w:hAnsi="Arial" w:cs="Arial"/>
          <w:b/>
          <w:caps/>
          <w:sz w:val="24"/>
          <w:szCs w:val="32"/>
        </w:rPr>
      </w:pPr>
      <w:bookmarkStart w:id="8" w:name="_PAR__8_daf17b67_b2c6_4c27_bfc5_6968f5bb"/>
      <w:bookmarkEnd w:id="7"/>
      <w:r>
        <w:rPr>
          <w:rFonts w:ascii="Arial" w:eastAsia="Arial" w:hAnsi="Arial" w:cs="Arial"/>
          <w:b/>
          <w:caps/>
          <w:sz w:val="24"/>
          <w:szCs w:val="32"/>
        </w:rPr>
        <w:t>132nd Legislature</w:t>
      </w:r>
    </w:p>
    <w:p w:rsidR="00AA6D95" w:rsidP="00AA6D95">
      <w:pPr>
        <w:spacing w:after="0"/>
        <w:ind w:left="360"/>
        <w:jc w:val="center"/>
        <w:outlineLvl w:val="0"/>
        <w:rPr>
          <w:rFonts w:ascii="Arial" w:eastAsia="Arial" w:hAnsi="Arial" w:cs="Arial"/>
          <w:b/>
          <w:caps/>
          <w:sz w:val="24"/>
          <w:szCs w:val="32"/>
        </w:rPr>
      </w:pPr>
      <w:bookmarkStart w:id="9" w:name="_PAR__9_6f3d0b87_80d7_47e5_90bf_1ffdc7c2"/>
      <w:bookmarkEnd w:id="8"/>
      <w:r>
        <w:rPr>
          <w:rFonts w:ascii="Arial" w:eastAsia="Arial" w:hAnsi="Arial" w:cs="Arial"/>
          <w:b/>
          <w:caps/>
          <w:sz w:val="24"/>
          <w:szCs w:val="32"/>
        </w:rPr>
        <w:t>Second Regular Session</w:t>
      </w:r>
    </w:p>
    <w:p w:rsidR="00AA6D95" w:rsidP="00AA6D95">
      <w:pPr>
        <w:spacing w:before="400" w:after="200"/>
        <w:ind w:left="360" w:firstLine="360"/>
        <w:rPr>
          <w:rFonts w:ascii="Arial" w:eastAsia="Arial" w:hAnsi="Arial" w:cs="Arial"/>
        </w:rPr>
      </w:pPr>
      <w:bookmarkStart w:id="10" w:name="_PAR__10_6439efb1_d65d_4b87_a7eb_4ed3a7c"/>
      <w:bookmarkEnd w:id="9"/>
      <w:r>
        <w:rPr>
          <w:rFonts w:ascii="Arial" w:eastAsia="Arial" w:hAnsi="Arial" w:cs="Arial"/>
          <w:szCs w:val="22"/>
        </w:rPr>
        <w:t>COMMITTEE AMENDMENT “      ” to S.P. 852, L.D. 2059, “An Act to Provide Required Funding for the Reimbursement of Assigned Counsel and to Develop the Public Defender Office for Cumberland County”</w:t>
      </w:r>
    </w:p>
    <w:p w:rsidR="00AA6D95" w:rsidP="00AA6D95">
      <w:pPr>
        <w:ind w:left="360" w:firstLine="360"/>
        <w:rPr>
          <w:rFonts w:ascii="Arial" w:eastAsia="Arial" w:hAnsi="Arial" w:cs="Arial"/>
        </w:rPr>
      </w:pPr>
      <w:bookmarkStart w:id="11" w:name="_INSTRUCTION__d82aa68a_565e_45aa_a1a3_84"/>
      <w:bookmarkStart w:id="12" w:name="_PAR__11_f12c58e6_f7c6_442d_9681_ae05800"/>
      <w:bookmarkEnd w:id="0"/>
      <w:bookmarkEnd w:id="10"/>
      <w:r>
        <w:rPr>
          <w:rFonts w:ascii="Arial" w:eastAsia="Arial" w:hAnsi="Arial" w:cs="Arial"/>
        </w:rPr>
        <w:t>Amend the bill by striking out the title and substituting the following:</w:t>
      </w:r>
    </w:p>
    <w:p w:rsidR="00AA6D95" w:rsidP="00AA6D95">
      <w:pPr>
        <w:ind w:left="360"/>
        <w:rPr>
          <w:rFonts w:ascii="Arial" w:eastAsia="Arial" w:hAnsi="Arial" w:cs="Arial"/>
        </w:rPr>
      </w:pPr>
      <w:bookmarkStart w:id="13" w:name="_PAR__12_eca0928f_a7b3_4f97_88e5_562ccb5"/>
      <w:bookmarkEnd w:id="12"/>
      <w:r>
        <w:rPr>
          <w:rFonts w:ascii="Arial" w:eastAsia="Arial" w:hAnsi="Arial" w:cs="Arial"/>
          <w:b/>
        </w:rPr>
        <w:t>'An Act to Provide Required Funding for the Reimbursement of Assigned Counsel and to Prohibit Collective Bargaining by Public Defenders and Employed Counsel'</w:t>
      </w:r>
    </w:p>
    <w:p w:rsidR="00AA6D95" w:rsidP="00AA6D95">
      <w:pPr>
        <w:ind w:left="360" w:firstLine="360"/>
        <w:rPr>
          <w:rFonts w:ascii="Arial" w:eastAsia="Arial" w:hAnsi="Arial" w:cs="Arial"/>
        </w:rPr>
      </w:pPr>
      <w:bookmarkStart w:id="14" w:name="_INSTRUCTION__1f01bd11_207e_4ded_88f9_61"/>
      <w:bookmarkStart w:id="15" w:name="_PAR__13_1bae69de_42fd_49fd_b785_ffa3b2a"/>
      <w:bookmarkEnd w:id="11"/>
      <w:bookmarkEnd w:id="13"/>
      <w:r>
        <w:rPr>
          <w:rFonts w:ascii="Arial" w:eastAsia="Arial" w:hAnsi="Arial" w:cs="Arial"/>
        </w:rPr>
        <w:t>Amend the bill in the emergency preamble by striking out all of the 6th and 7th paragraphs (page 1, lines 20 to 25 in L.D.).</w:t>
      </w:r>
    </w:p>
    <w:p w:rsidR="00AA6D95" w:rsidP="00AA6D95">
      <w:pPr>
        <w:ind w:left="360" w:firstLine="360"/>
        <w:rPr>
          <w:rFonts w:ascii="Arial" w:eastAsia="Arial" w:hAnsi="Arial" w:cs="Arial"/>
        </w:rPr>
      </w:pPr>
      <w:bookmarkStart w:id="16" w:name="_INSTRUCTION__516f8a4f_21af_4044_b75e_6f"/>
      <w:bookmarkStart w:id="17" w:name="_PAR__14_19af7c18_6cb9_45b4_b008_380ae75"/>
      <w:bookmarkEnd w:id="14"/>
      <w:bookmarkEnd w:id="15"/>
      <w:r>
        <w:rPr>
          <w:rFonts w:ascii="Arial" w:eastAsia="Arial" w:hAnsi="Arial" w:cs="Arial"/>
        </w:rPr>
        <w:t>Amend the bill by striking out everything after the enacting clause and before the emergency clause and inserting the following:</w:t>
      </w:r>
    </w:p>
    <w:p w:rsidR="00AA6D95" w:rsidP="00AA6D95">
      <w:pPr>
        <w:ind w:left="360" w:firstLine="360"/>
        <w:rPr>
          <w:rFonts w:ascii="Arial" w:eastAsia="Arial" w:hAnsi="Arial" w:cs="Arial"/>
        </w:rPr>
      </w:pPr>
      <w:bookmarkStart w:id="18" w:name="_PAR__15_805adaaa_1ce7_475c_a2bb_fba41ad"/>
      <w:bookmarkEnd w:id="17"/>
      <w:r>
        <w:rPr>
          <w:rFonts w:ascii="Arial" w:eastAsia="Arial" w:hAnsi="Arial" w:cs="Arial"/>
        </w:rPr>
        <w:t>'</w:t>
      </w:r>
      <w:r>
        <w:rPr>
          <w:rFonts w:ascii="Arial" w:eastAsia="Arial" w:hAnsi="Arial" w:cs="Arial"/>
          <w:b/>
          <w:sz w:val="24"/>
        </w:rPr>
        <w:t>Sec. 1.  26 MRSA §979-A, sub-§6, ¶H-1</w:t>
      </w:r>
      <w:r>
        <w:rPr>
          <w:rFonts w:ascii="Arial" w:eastAsia="Arial" w:hAnsi="Arial" w:cs="Arial"/>
        </w:rPr>
        <w:t xml:space="preserve"> is enacted to read:</w:t>
      </w:r>
    </w:p>
    <w:p w:rsidR="00AA6D95" w:rsidP="00AA6D95">
      <w:pPr>
        <w:ind w:left="720"/>
        <w:rPr>
          <w:rFonts w:ascii="Arial" w:eastAsia="Arial" w:hAnsi="Arial" w:cs="Arial"/>
        </w:rPr>
      </w:pPr>
      <w:bookmarkStart w:id="19" w:name="_PAR__16_b3dd24b8_59ac_4384_9456_7e0c975"/>
      <w:bookmarkEnd w:id="18"/>
      <w:r>
        <w:rPr>
          <w:rFonts w:ascii="Arial" w:eastAsia="Arial" w:hAnsi="Arial" w:cs="Arial"/>
          <w:u w:val="single"/>
        </w:rPr>
        <w:t>H-1.  Who is a public defender or employed counsel employed by the Maine Commission on Public Defense Services established by Title 5, section 12004-G, subsection 25-A. For purposes of this paragraph, "employed counsel" has the same meaning as in Title 4, section 1802, subsection 3-A and "public defender" has the same meaning as in Title 4, section 1802, subsection 5.</w:t>
      </w:r>
    </w:p>
    <w:p w:rsidR="00AA6D95" w:rsidP="00AA6D95">
      <w:pPr>
        <w:ind w:left="360" w:firstLine="360"/>
        <w:rPr>
          <w:rFonts w:ascii="Arial" w:eastAsia="Arial" w:hAnsi="Arial" w:cs="Arial"/>
        </w:rPr>
      </w:pPr>
      <w:bookmarkStart w:id="20" w:name="_PAR__17_69a2164f_50dd_45be_b637_7c2713c"/>
      <w:bookmarkEnd w:id="19"/>
      <w:r>
        <w:rPr>
          <w:rFonts w:ascii="Arial" w:eastAsia="Arial" w:hAnsi="Arial" w:cs="Arial"/>
          <w:b/>
          <w:sz w:val="24"/>
        </w:rPr>
        <w:t>Sec. 2.  Appropriations and allocations.</w:t>
      </w:r>
      <w:r>
        <w:rPr>
          <w:rFonts w:ascii="Arial" w:eastAsia="Arial" w:hAnsi="Arial" w:cs="Arial"/>
        </w:rPr>
        <w:t>  The following appropriations and allocations are made.</w:t>
      </w:r>
    </w:p>
    <w:p w:rsidR="00AA6D95" w:rsidP="00AA6D95">
      <w:pPr>
        <w:pStyle w:val="BPSParagraphLeftAlign"/>
        <w:suppressAutoHyphens/>
        <w:ind w:left="360"/>
        <w:rPr>
          <w:rFonts w:ascii="Arial" w:eastAsia="Arial" w:hAnsi="Arial" w:cs="Arial"/>
        </w:rPr>
      </w:pPr>
      <w:bookmarkStart w:id="21" w:name="_PAR__18_0d8acaae_5cdd_4023_8b6a_d0cb608"/>
      <w:bookmarkEnd w:id="20"/>
      <w:r>
        <w:rPr>
          <w:rFonts w:ascii="Arial" w:eastAsia="Arial" w:hAnsi="Arial" w:cs="Arial"/>
          <w:b/>
        </w:rPr>
        <w:t>PUBLIC DEFENSE SERVICES, MAINE COMMISSION ON</w:t>
      </w:r>
    </w:p>
    <w:p w:rsidR="00AA6D95" w:rsidP="00AA6D95">
      <w:pPr>
        <w:pStyle w:val="BPSParagraphLeftAlign"/>
        <w:suppressAutoHyphens/>
        <w:ind w:left="360"/>
        <w:rPr>
          <w:rFonts w:ascii="Arial" w:eastAsia="Arial" w:hAnsi="Arial" w:cs="Arial"/>
        </w:rPr>
      </w:pPr>
      <w:bookmarkStart w:id="22" w:name="_PAR__19_2cc522ad_e41e_41a4_96ae_e9006f8"/>
      <w:bookmarkEnd w:id="21"/>
      <w:r>
        <w:rPr>
          <w:rFonts w:ascii="Arial" w:eastAsia="Arial" w:hAnsi="Arial" w:cs="Arial"/>
          <w:b/>
        </w:rPr>
        <w:t>Maine Commission on Public Defense Services Z112</w:t>
      </w:r>
    </w:p>
    <w:p w:rsidR="00AA6D95" w:rsidP="00AA6D95">
      <w:pPr>
        <w:ind w:left="360"/>
        <w:rPr>
          <w:rFonts w:ascii="Arial" w:eastAsia="Arial" w:hAnsi="Arial" w:cs="Arial"/>
        </w:rPr>
      </w:pPr>
      <w:bookmarkStart w:id="23" w:name="_PAR__20_1937b346_c089_4db8_870f_1417978"/>
      <w:bookmarkEnd w:id="22"/>
      <w:r>
        <w:rPr>
          <w:rFonts w:ascii="Arial" w:eastAsia="Arial" w:hAnsi="Arial" w:cs="Arial"/>
        </w:rPr>
        <w:t>Initiative: Provides one-time funding to address the shortfall in funding available to compensate constitutionally and statutorily required assigned counsel in fiscal years 2025</w:t>
      </w:r>
      <w:r>
        <w:rPr>
          <w:rFonts w:ascii="Arial" w:eastAsia="Arial" w:hAnsi="Arial" w:cs="Arial"/>
        </w:rPr>
        <w:noBreakHyphen/>
        <w:t>26 and 2026</w:t>
      </w:r>
      <w:r>
        <w:rPr>
          <w:rFonts w:ascii="Arial" w:eastAsia="Arial" w:hAnsi="Arial" w:cs="Arial"/>
        </w:rPr>
        <w:noBreakHyphen/>
        <w:t>27.</w:t>
      </w:r>
    </w:p>
    <w:tbl>
      <w:tblPr>
        <w:tblStyle w:val="BPSTable"/>
        <w:tblW w:w="0" w:type="auto"/>
        <w:tblInd w:w="360" w:type="dxa"/>
        <w:tblCellMar>
          <w:left w:w="0" w:type="dxa"/>
          <w:right w:w="0" w:type="dxa"/>
        </w:tblCellMar>
        <w:tblLook w:val="04A0"/>
      </w:tblPr>
      <w:tblGrid>
        <w:gridCol w:w="5009"/>
        <w:gridCol w:w="1463"/>
        <w:gridCol w:w="1463"/>
      </w:tblGrid>
      <w:tr w:rsidTr="00AA751F">
        <w:tblPrEx>
          <w:tblW w:w="0" w:type="auto"/>
          <w:tblInd w:w="360" w:type="dxa"/>
          <w:tblCellMar>
            <w:left w:w="0" w:type="dxa"/>
            <w:right w:w="0" w:type="dxa"/>
          </w:tblCellMar>
          <w:tblLook w:val="04A0"/>
        </w:tblPrEx>
        <w:tc>
          <w:tcPr>
            <w:tcW w:w="5069" w:type="dxa"/>
          </w:tcPr>
          <w:p w:rsidR="00AA6D95" w:rsidP="00AA751F">
            <w:pPr>
              <w:spacing w:before="0" w:after="0"/>
              <w:rPr>
                <w:rFonts w:ascii="Arial" w:eastAsia="Arial" w:hAnsi="Arial" w:cs="Arial"/>
              </w:rPr>
            </w:pPr>
            <w:bookmarkStart w:id="24" w:name="_PAR__21_c19a9a8a_41c3_49a1_903c_ecb8291"/>
            <w:bookmarkStart w:id="25" w:name="_LINE__32_69dbb40b_6996_41dd_a5f4_89bc82"/>
            <w:bookmarkEnd w:id="23"/>
            <w:r>
              <w:rPr>
                <w:rFonts w:ascii="Arial" w:eastAsia="Arial" w:hAnsi="Arial" w:cs="Arial"/>
                <w:b/>
              </w:rPr>
              <w:t>GENERAL FUND</w:t>
            </w:r>
            <w:bookmarkEnd w:id="25"/>
          </w:p>
        </w:tc>
        <w:tc>
          <w:tcPr>
            <w:tcW w:w="1469" w:type="dxa"/>
          </w:tcPr>
          <w:p w:rsidR="00AA6D95" w:rsidP="00AA751F">
            <w:pPr>
              <w:spacing w:before="0" w:after="0"/>
              <w:jc w:val="right"/>
              <w:rPr>
                <w:rFonts w:ascii="Arial" w:eastAsia="Arial" w:hAnsi="Arial" w:cs="Arial"/>
              </w:rPr>
            </w:pPr>
            <w:bookmarkStart w:id="26" w:name="_LINE__32_20eccb62_c5eb_40fd_b567_ad596d"/>
            <w:r>
              <w:rPr>
                <w:rFonts w:ascii="Arial" w:eastAsia="Arial" w:hAnsi="Arial" w:cs="Arial"/>
                <w:b/>
              </w:rPr>
              <w:t>2025-26</w:t>
            </w:r>
            <w:bookmarkEnd w:id="26"/>
          </w:p>
        </w:tc>
        <w:tc>
          <w:tcPr>
            <w:tcW w:w="1469" w:type="dxa"/>
          </w:tcPr>
          <w:p w:rsidR="00AA6D95" w:rsidP="00AA751F">
            <w:pPr>
              <w:spacing w:before="0" w:after="0"/>
              <w:jc w:val="right"/>
              <w:rPr>
                <w:rFonts w:ascii="Arial" w:eastAsia="Arial" w:hAnsi="Arial" w:cs="Arial"/>
              </w:rPr>
            </w:pPr>
            <w:bookmarkStart w:id="27" w:name="_LINE__32_b74941d4_8749_4991_9f58_bc8afe"/>
            <w:r>
              <w:rPr>
                <w:rFonts w:ascii="Arial" w:eastAsia="Arial" w:hAnsi="Arial" w:cs="Arial"/>
                <w:b/>
              </w:rPr>
              <w:t>2026-27</w:t>
            </w:r>
            <w:bookmarkEnd w:id="27"/>
          </w:p>
        </w:tc>
      </w:tr>
      <w:tr w:rsidTr="00AA751F">
        <w:tblPrEx>
          <w:tblW w:w="0" w:type="auto"/>
          <w:tblInd w:w="360" w:type="dxa"/>
          <w:tblCellMar>
            <w:left w:w="0" w:type="dxa"/>
            <w:right w:w="0" w:type="dxa"/>
          </w:tblCellMar>
          <w:tblLook w:val="04A0"/>
        </w:tblPrEx>
        <w:tc>
          <w:tcPr>
            <w:tcW w:w="5069" w:type="dxa"/>
          </w:tcPr>
          <w:p w:rsidR="00AA6D95" w:rsidP="00AA751F">
            <w:pPr>
              <w:spacing w:before="0" w:after="0"/>
              <w:ind w:left="180"/>
              <w:rPr>
                <w:rFonts w:ascii="Arial" w:eastAsia="Arial" w:hAnsi="Arial" w:cs="Arial"/>
              </w:rPr>
            </w:pPr>
            <w:bookmarkStart w:id="28" w:name="_LINE__33_181f309a_fa65_40eb_a880_0fcd34"/>
            <w:r>
              <w:rPr>
                <w:rFonts w:ascii="Arial" w:eastAsia="Arial" w:hAnsi="Arial" w:cs="Arial"/>
              </w:rPr>
              <w:t>All Other</w:t>
            </w:r>
            <w:bookmarkEnd w:id="28"/>
          </w:p>
        </w:tc>
        <w:tc>
          <w:tcPr>
            <w:tcW w:w="1469" w:type="dxa"/>
          </w:tcPr>
          <w:p w:rsidR="00AA6D95" w:rsidP="00AA751F">
            <w:pPr>
              <w:spacing w:before="0" w:after="0"/>
              <w:jc w:val="right"/>
              <w:rPr>
                <w:rFonts w:ascii="Arial" w:eastAsia="Arial" w:hAnsi="Arial" w:cs="Arial"/>
              </w:rPr>
            </w:pPr>
            <w:bookmarkStart w:id="29" w:name="_LINE__33_e527fb54_f64f_4bbc_aa8f_5c946f"/>
            <w:r>
              <w:rPr>
                <w:rFonts w:ascii="Arial" w:eastAsia="Arial" w:hAnsi="Arial" w:cs="Arial"/>
              </w:rPr>
              <w:t>$13,000,000</w:t>
            </w:r>
            <w:bookmarkEnd w:id="29"/>
          </w:p>
        </w:tc>
        <w:tc>
          <w:tcPr>
            <w:tcW w:w="1469" w:type="dxa"/>
          </w:tcPr>
          <w:p w:rsidR="00AA6D95" w:rsidP="00AA751F">
            <w:pPr>
              <w:spacing w:before="0" w:after="0"/>
              <w:jc w:val="right"/>
              <w:rPr>
                <w:rFonts w:ascii="Arial" w:eastAsia="Arial" w:hAnsi="Arial" w:cs="Arial"/>
              </w:rPr>
            </w:pPr>
            <w:bookmarkStart w:id="30" w:name="_LINE__33_349ae50a_ade5_4a87_9981_1a01ca"/>
            <w:r>
              <w:rPr>
                <w:rFonts w:ascii="Arial" w:eastAsia="Arial" w:hAnsi="Arial" w:cs="Arial"/>
              </w:rPr>
              <w:t>$9,000,000</w:t>
            </w:r>
            <w:bookmarkEnd w:id="30"/>
          </w:p>
        </w:tc>
      </w:tr>
      <w:tr w:rsidTr="00AA751F">
        <w:tblPrEx>
          <w:tblW w:w="0" w:type="auto"/>
          <w:tblInd w:w="360" w:type="dxa"/>
          <w:tblCellMar>
            <w:left w:w="0" w:type="dxa"/>
            <w:right w:w="0" w:type="dxa"/>
          </w:tblCellMar>
          <w:tblLook w:val="04A0"/>
        </w:tblPrEx>
        <w:tc>
          <w:tcPr>
            <w:tcW w:w="5069" w:type="dxa"/>
          </w:tcPr>
          <w:p w:rsidR="00AA6D95" w:rsidP="00AA751F">
            <w:pPr>
              <w:spacing w:before="0" w:after="0"/>
              <w:rPr>
                <w:rFonts w:ascii="Arial" w:eastAsia="Arial" w:hAnsi="Arial" w:cs="Arial"/>
              </w:rPr>
            </w:pPr>
            <w:bookmarkStart w:id="31" w:name="_LINE__34_aa52f195_9ca4_4071_81c9_113906"/>
            <w:r>
              <w:rPr>
                <w:rFonts w:ascii="Arial" w:eastAsia="Arial" w:hAnsi="Arial" w:cs="Arial"/>
              </w:rPr>
              <w:t xml:space="preserve"> </w:t>
            </w:r>
            <w:bookmarkEnd w:id="31"/>
          </w:p>
        </w:tc>
        <w:tc>
          <w:tcPr>
            <w:tcW w:w="1469" w:type="dxa"/>
          </w:tcPr>
          <w:p w:rsidR="00AA6D95" w:rsidP="00AA751F">
            <w:pPr>
              <w:spacing w:before="0" w:after="0"/>
              <w:jc w:val="right"/>
              <w:rPr>
                <w:rFonts w:ascii="Arial" w:eastAsia="Arial" w:hAnsi="Arial" w:cs="Arial"/>
              </w:rPr>
            </w:pPr>
            <w:bookmarkStart w:id="32" w:name="_LINE__34_3a811ced_2f33_4598_b153_622986"/>
            <w:r>
              <w:rPr>
                <w:rFonts w:ascii="Arial" w:eastAsia="Arial" w:hAnsi="Arial" w:cs="Arial"/>
              </w:rPr>
              <w:t>__________</w:t>
            </w:r>
            <w:bookmarkEnd w:id="32"/>
          </w:p>
        </w:tc>
        <w:tc>
          <w:tcPr>
            <w:tcW w:w="1469" w:type="dxa"/>
          </w:tcPr>
          <w:p w:rsidR="00AA6D95" w:rsidP="00AA751F">
            <w:pPr>
              <w:spacing w:before="0" w:after="0"/>
              <w:jc w:val="right"/>
              <w:rPr>
                <w:rFonts w:ascii="Arial" w:eastAsia="Arial" w:hAnsi="Arial" w:cs="Arial"/>
              </w:rPr>
            </w:pPr>
            <w:bookmarkStart w:id="33" w:name="_LINE__34_6a045182_d4a4_4302_bcff_14bba0"/>
            <w:r>
              <w:rPr>
                <w:rFonts w:ascii="Arial" w:eastAsia="Arial" w:hAnsi="Arial" w:cs="Arial"/>
              </w:rPr>
              <w:t>__________</w:t>
            </w:r>
            <w:bookmarkEnd w:id="33"/>
          </w:p>
        </w:tc>
      </w:tr>
      <w:tr w:rsidTr="00AA751F">
        <w:tblPrEx>
          <w:tblW w:w="0" w:type="auto"/>
          <w:tblInd w:w="360" w:type="dxa"/>
          <w:tblCellMar>
            <w:left w:w="0" w:type="dxa"/>
            <w:right w:w="0" w:type="dxa"/>
          </w:tblCellMar>
          <w:tblLook w:val="04A0"/>
        </w:tblPrEx>
        <w:tc>
          <w:tcPr>
            <w:tcW w:w="5069" w:type="dxa"/>
          </w:tcPr>
          <w:p w:rsidR="00AA6D95" w:rsidP="00AA751F">
            <w:pPr>
              <w:spacing w:before="0" w:after="0"/>
              <w:rPr>
                <w:rFonts w:ascii="Arial" w:eastAsia="Arial" w:hAnsi="Arial" w:cs="Arial"/>
              </w:rPr>
            </w:pPr>
            <w:bookmarkStart w:id="34" w:name="_PAGE__2_a39b8481_5cd7_48e4_94f8_e6f1ed8"/>
            <w:bookmarkStart w:id="35" w:name="_PAR__2_667a8edb_6ea5_4499_9c93_359c875f"/>
            <w:bookmarkStart w:id="36" w:name="_LINE__1_c756aed3_e753_4c02_93e7_a8e5a28"/>
            <w:bookmarkEnd w:id="1"/>
            <w:bookmarkEnd w:id="24"/>
            <w:r>
              <w:rPr>
                <w:rFonts w:ascii="Arial" w:eastAsia="Arial" w:hAnsi="Arial" w:cs="Arial"/>
              </w:rPr>
              <w:t>GENERAL FUND TOTAL</w:t>
            </w:r>
            <w:bookmarkEnd w:id="36"/>
          </w:p>
        </w:tc>
        <w:tc>
          <w:tcPr>
            <w:tcW w:w="1469" w:type="dxa"/>
          </w:tcPr>
          <w:p w:rsidR="00AA6D95" w:rsidP="00AA751F">
            <w:pPr>
              <w:spacing w:before="0" w:after="0"/>
              <w:jc w:val="right"/>
              <w:rPr>
                <w:rFonts w:ascii="Arial" w:eastAsia="Arial" w:hAnsi="Arial" w:cs="Arial"/>
              </w:rPr>
            </w:pPr>
            <w:bookmarkStart w:id="37" w:name="_LINE__1_286f1686_3161_437c_9d10_4e9cfa1"/>
            <w:r>
              <w:rPr>
                <w:rFonts w:ascii="Arial" w:eastAsia="Arial" w:hAnsi="Arial" w:cs="Arial"/>
              </w:rPr>
              <w:t>$13,000,000</w:t>
            </w:r>
            <w:bookmarkEnd w:id="37"/>
          </w:p>
        </w:tc>
        <w:tc>
          <w:tcPr>
            <w:tcW w:w="1469" w:type="dxa"/>
          </w:tcPr>
          <w:p w:rsidR="00AA6D95" w:rsidP="00AA751F">
            <w:pPr>
              <w:spacing w:before="0" w:after="0"/>
              <w:jc w:val="right"/>
              <w:rPr>
                <w:rFonts w:ascii="Arial" w:eastAsia="Arial" w:hAnsi="Arial" w:cs="Arial"/>
              </w:rPr>
            </w:pPr>
            <w:bookmarkStart w:id="38" w:name="_LINE__1_b6e237ef_3177_44dd_b5df_84afae3"/>
            <w:r>
              <w:rPr>
                <w:rFonts w:ascii="Arial" w:eastAsia="Arial" w:hAnsi="Arial" w:cs="Arial"/>
              </w:rPr>
              <w:t>$9,000,000</w:t>
            </w:r>
            <w:bookmarkEnd w:id="38"/>
          </w:p>
        </w:tc>
      </w:tr>
    </w:tbl>
    <w:p w:rsidR="00AA6D95" w:rsidP="00AA6D95">
      <w:pPr>
        <w:ind w:left="360"/>
        <w:rPr>
          <w:rFonts w:ascii="Arial" w:eastAsia="Arial" w:hAnsi="Arial" w:cs="Arial"/>
        </w:rPr>
      </w:pPr>
      <w:bookmarkStart w:id="39" w:name="_PAR__3_a45ca3a4_876d_4630_ab9c_937c886c"/>
      <w:bookmarkEnd w:id="35"/>
      <w:r>
        <w:rPr>
          <w:rFonts w:ascii="Arial" w:eastAsia="Arial" w:hAnsi="Arial" w:cs="Arial"/>
        </w:rPr>
        <w:t>'</w:t>
      </w:r>
    </w:p>
    <w:p w:rsidR="00AA6D95" w:rsidP="00AA6D95">
      <w:pPr>
        <w:ind w:left="360" w:firstLine="360"/>
        <w:rPr>
          <w:rFonts w:ascii="Arial" w:eastAsia="Arial" w:hAnsi="Arial" w:cs="Arial"/>
        </w:rPr>
      </w:pPr>
      <w:bookmarkStart w:id="40" w:name="_INSTRUCTION__cc779206_b266_4e99_99d1_97"/>
      <w:bookmarkStart w:id="41" w:name="_PAR__4_838cee26_9577_47f1_b027_35f5bd21"/>
      <w:bookmarkEnd w:id="16"/>
      <w:bookmarkEnd w:id="39"/>
      <w:r>
        <w:rPr>
          <w:rFonts w:ascii="Arial" w:eastAsia="Arial" w:hAnsi="Arial" w:cs="Arial"/>
        </w:rPr>
        <w:t>Amend the bill by relettering or renumbering any nonconsecutive Part letter or section number to read consecutively.</w:t>
      </w:r>
    </w:p>
    <w:p w:rsidR="00AA6D95" w:rsidP="00AA6D95">
      <w:pPr>
        <w:keepNext/>
        <w:spacing w:before="240"/>
        <w:ind w:left="360"/>
        <w:jc w:val="center"/>
        <w:rPr>
          <w:rFonts w:ascii="Arial" w:eastAsia="Arial" w:hAnsi="Arial" w:cs="Arial"/>
        </w:rPr>
      </w:pPr>
      <w:bookmarkStart w:id="42" w:name="_SUMMARY__31f23c65_5019_4dde_b77b_be4414"/>
      <w:bookmarkStart w:id="43" w:name="_PAR__5_bfc90855_66c8_47c1_a426_6861713d"/>
      <w:bookmarkEnd w:id="40"/>
      <w:bookmarkEnd w:id="41"/>
      <w:r>
        <w:rPr>
          <w:rFonts w:ascii="Arial" w:eastAsia="Arial" w:hAnsi="Arial" w:cs="Arial"/>
          <w:b/>
          <w:sz w:val="24"/>
        </w:rPr>
        <w:t>SUMMARY</w:t>
      </w:r>
    </w:p>
    <w:p w:rsidR="00AA6D95" w:rsidP="00AA6D95">
      <w:pPr>
        <w:keepNext/>
        <w:ind w:left="360" w:firstLine="360"/>
        <w:rPr>
          <w:rFonts w:ascii="Arial" w:eastAsia="Arial" w:hAnsi="Arial" w:cs="Arial"/>
        </w:rPr>
      </w:pPr>
      <w:bookmarkStart w:id="44" w:name="_PAR__6_7d5d1a62_2a8c_4ad8_ac2b_8e573de0"/>
      <w:bookmarkEnd w:id="43"/>
      <w:r>
        <w:rPr>
          <w:rFonts w:ascii="Arial" w:eastAsia="Arial" w:hAnsi="Arial" w:cs="Arial"/>
        </w:rPr>
        <w:t>This amendment, which is the minority report of the committee, changes the title and removes from the bill funding for the establishment of a public defender office in Cumberland County. It also provides that attorneys employed by the Maine Commission on Public Defense Services as employed counsel or public defenders are exempt from the State Employees Labor Relations Act.</w:t>
      </w:r>
    </w:p>
    <w:p w:rsidR="00AA6D95" w:rsidP="00AA6D95">
      <w:pPr>
        <w:keepNext/>
        <w:spacing w:before="60" w:after="60"/>
        <w:ind w:left="360"/>
        <w:jc w:val="center"/>
        <w:rPr>
          <w:rFonts w:ascii="Arial" w:eastAsia="Arial" w:hAnsi="Arial" w:cs="Arial"/>
        </w:rPr>
      </w:pPr>
      <w:bookmarkStart w:id="45" w:name="_FISCAL_NOTE_REQUIRED__66e82e6e_9953_4f1"/>
      <w:bookmarkStart w:id="46" w:name="_PAR__7_f8ee1a83_90fd_4d85_8324_d3d7497c"/>
      <w:bookmarkEnd w:id="44"/>
      <w:r>
        <w:rPr>
          <w:rFonts w:ascii="Arial" w:eastAsia="Arial" w:hAnsi="Arial" w:cs="Arial"/>
          <w:b/>
        </w:rPr>
        <w:t>FISCAL NOTE REQUIRED</w:t>
      </w:r>
    </w:p>
    <w:p w:rsidR="00000000" w:rsidRPr="00AA6D95" w:rsidP="00AA6D95">
      <w:pPr>
        <w:spacing w:before="60" w:after="60"/>
        <w:ind w:left="360"/>
        <w:jc w:val="center"/>
        <w:rPr>
          <w:rFonts w:ascii="Arial" w:eastAsia="Arial" w:hAnsi="Arial" w:cs="Arial"/>
          <w:b/>
        </w:rPr>
      </w:pPr>
      <w:bookmarkStart w:id="47" w:name="_PAR__8_2504a686_8ab4_4504_8503_794d2c87"/>
      <w:bookmarkEnd w:id="46"/>
      <w:r>
        <w:rPr>
          <w:rFonts w:ascii="Arial" w:eastAsia="Arial" w:hAnsi="Arial" w:cs="Arial"/>
          <w:b/>
        </w:rPr>
        <w:t>(See attached)</w:t>
      </w:r>
      <w:bookmarkEnd w:id="34"/>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Required Funding for the Reimbursement of Assigned Counsel and to Prohibit Collective Bargaining by Public Defenders and Employed Counsel</w:t>
    </w:r>
  </w:p>
  <w:p>
    <w:pPr>
      <w:suppressLineNumbers/>
      <w:spacing w:before="0" w:after="0"/>
      <w:jc w:val="center"/>
      <w:rPr>
        <w:rFonts w:ascii="Arial" w:eastAsia="Arial" w:hAnsi="Arial" w:cs="Arial"/>
      </w:rPr>
    </w:pPr>
    <w:r>
      <w:rPr>
        <w:rFonts w:ascii="Arial" w:eastAsia="Arial" w:hAnsi="Arial" w:cs="Arial"/>
        <w:sz w:val="22"/>
      </w:rPr>
      <w:t>L.D. 2059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6D95"/>
    <w:rsid w:val="00AA73FC"/>
    <w:rsid w:val="00AA751F"/>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