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Law Governing Licensing Actions of the Emergency Medical Services' Board</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39 - L.D. 47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Amend the Law Governing Licensing Actions of the Emergency Medical Services' Board</w:t>
      </w:r>
    </w:p>
    <w:p w:rsidR="00D802A3" w:rsidP="00D802A3">
      <w:pPr>
        <w:ind w:left="360" w:firstLine="360"/>
        <w:rPr>
          <w:rFonts w:ascii="Arial" w:eastAsia="Arial" w:hAnsi="Arial" w:cs="Arial"/>
        </w:rPr>
      </w:pPr>
      <w:bookmarkStart w:id="0" w:name="_EMERGENCY_PREAMBLE__ff75646e_12ac_4a81_"/>
      <w:bookmarkStart w:id="1" w:name="_INSTRUCTION__36e7cfe2_ac89_4c98_a328_48"/>
      <w:bookmarkStart w:id="2" w:name="_DOC_BODY_CONTAINER__4f090f38_a826_46aa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D802A3" w:rsidP="00D802A3">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A10E7E">
        <w:rPr>
          <w:rFonts w:ascii="Arial" w:eastAsia="Arial" w:hAnsi="Arial" w:cs="Arial"/>
        </w:rPr>
        <w:t>in 2019</w:t>
      </w:r>
      <w:r>
        <w:rPr>
          <w:rFonts w:ascii="Arial" w:eastAsia="Arial" w:hAnsi="Arial" w:cs="Arial"/>
        </w:rPr>
        <w:t>,</w:t>
      </w:r>
      <w:r w:rsidRPr="00A10E7E">
        <w:rPr>
          <w:rFonts w:ascii="Arial" w:eastAsia="Arial" w:hAnsi="Arial" w:cs="Arial"/>
        </w:rPr>
        <w:t xml:space="preserve"> the 129th Legislature enacted </w:t>
      </w:r>
      <w:r>
        <w:rPr>
          <w:rFonts w:ascii="Arial" w:eastAsia="Arial" w:hAnsi="Arial" w:cs="Arial"/>
        </w:rPr>
        <w:t>Public Law</w:t>
      </w:r>
      <w:r w:rsidRPr="00A10E7E">
        <w:rPr>
          <w:rFonts w:ascii="Arial" w:eastAsia="Arial" w:hAnsi="Arial" w:cs="Arial"/>
        </w:rPr>
        <w:t xml:space="preserve"> 2019, </w:t>
      </w:r>
      <w:r>
        <w:rPr>
          <w:rFonts w:ascii="Arial" w:eastAsia="Arial" w:hAnsi="Arial" w:cs="Arial"/>
        </w:rPr>
        <w:t>chapter</w:t>
      </w:r>
      <w:r w:rsidRPr="00A10E7E">
        <w:rPr>
          <w:rFonts w:ascii="Arial" w:eastAsia="Arial" w:hAnsi="Arial" w:cs="Arial"/>
        </w:rPr>
        <w:t xml:space="preserve"> 370, which gave the Emergency Medical Services</w:t>
      </w:r>
      <w:r>
        <w:rPr>
          <w:rFonts w:ascii="Arial" w:eastAsia="Arial" w:hAnsi="Arial" w:cs="Arial"/>
        </w:rPr>
        <w:t>'</w:t>
      </w:r>
      <w:r w:rsidRPr="00A10E7E">
        <w:rPr>
          <w:rFonts w:ascii="Arial" w:eastAsia="Arial" w:hAnsi="Arial" w:cs="Arial"/>
        </w:rPr>
        <w:t xml:space="preserve"> Board the authority to deny, refuse to renew or revoke an emergency medical services person’s license; and</w:t>
      </w:r>
    </w:p>
    <w:p w:rsidR="00D802A3" w:rsidP="00D802A3">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A10E7E">
        <w:rPr>
          <w:rFonts w:ascii="Arial" w:eastAsia="Arial" w:hAnsi="Arial" w:cs="Arial"/>
        </w:rPr>
        <w:t xml:space="preserve">prior to the enactment of </w:t>
      </w:r>
      <w:r>
        <w:rPr>
          <w:rFonts w:ascii="Arial" w:eastAsia="Arial" w:hAnsi="Arial" w:cs="Arial"/>
        </w:rPr>
        <w:t>Public Law</w:t>
      </w:r>
      <w:r w:rsidRPr="00A10E7E">
        <w:rPr>
          <w:rFonts w:ascii="Arial" w:eastAsia="Arial" w:hAnsi="Arial" w:cs="Arial"/>
        </w:rPr>
        <w:t xml:space="preserve"> 2019, </w:t>
      </w:r>
      <w:r>
        <w:rPr>
          <w:rFonts w:ascii="Arial" w:eastAsia="Arial" w:hAnsi="Arial" w:cs="Arial"/>
        </w:rPr>
        <w:t>chapter</w:t>
      </w:r>
      <w:r w:rsidRPr="00A10E7E">
        <w:rPr>
          <w:rFonts w:ascii="Arial" w:eastAsia="Arial" w:hAnsi="Arial" w:cs="Arial"/>
        </w:rPr>
        <w:t xml:space="preserve"> 370, the Emergency Medical Services</w:t>
      </w:r>
      <w:r>
        <w:rPr>
          <w:rFonts w:ascii="Arial" w:eastAsia="Arial" w:hAnsi="Arial" w:cs="Arial"/>
        </w:rPr>
        <w:t>'</w:t>
      </w:r>
      <w:r w:rsidRPr="00A10E7E">
        <w:rPr>
          <w:rFonts w:ascii="Arial" w:eastAsia="Arial" w:hAnsi="Arial" w:cs="Arial"/>
        </w:rPr>
        <w:t xml:space="preserve"> Board was not permitted to revoke emergency medical services licenses of emergency medical services personnel, but instead was required to request the </w:t>
      </w:r>
      <w:r>
        <w:rPr>
          <w:rFonts w:ascii="Arial" w:eastAsia="Arial" w:hAnsi="Arial" w:cs="Arial"/>
        </w:rPr>
        <w:t xml:space="preserve">Office of the </w:t>
      </w:r>
      <w:r w:rsidRPr="00A10E7E">
        <w:rPr>
          <w:rFonts w:ascii="Arial" w:eastAsia="Arial" w:hAnsi="Arial" w:cs="Arial"/>
        </w:rPr>
        <w:t>Attorney General</w:t>
      </w:r>
      <w:r>
        <w:rPr>
          <w:rFonts w:ascii="Arial" w:eastAsia="Arial" w:hAnsi="Arial" w:cs="Arial"/>
        </w:rPr>
        <w:t xml:space="preserve"> to</w:t>
      </w:r>
      <w:r w:rsidRPr="00A10E7E">
        <w:rPr>
          <w:rFonts w:ascii="Arial" w:eastAsia="Arial" w:hAnsi="Arial" w:cs="Arial"/>
        </w:rPr>
        <w:t xml:space="preserve"> file a complaint </w:t>
      </w:r>
      <w:r>
        <w:rPr>
          <w:rFonts w:ascii="Arial" w:eastAsia="Arial" w:hAnsi="Arial" w:cs="Arial"/>
        </w:rPr>
        <w:t>with the</w:t>
      </w:r>
      <w:r w:rsidRPr="00A10E7E">
        <w:rPr>
          <w:rFonts w:ascii="Arial" w:eastAsia="Arial" w:hAnsi="Arial" w:cs="Arial"/>
        </w:rPr>
        <w:t xml:space="preserve"> District Court to revoke a license; and</w:t>
      </w:r>
    </w:p>
    <w:p w:rsidR="00D802A3" w:rsidP="00D802A3">
      <w:pPr>
        <w:ind w:left="360" w:firstLine="360"/>
        <w:rPr>
          <w:rFonts w:ascii="Arial" w:eastAsia="Arial" w:hAnsi="Arial" w:cs="Arial"/>
        </w:rPr>
      </w:pPr>
      <w:bookmarkStart w:id="3" w:name="_WHEREAS_CLAUSE__617fd5e0_f4a9_465b_9806"/>
      <w:r>
        <w:rPr>
          <w:rFonts w:ascii="Arial" w:eastAsia="Arial" w:hAnsi="Arial" w:cs="Arial"/>
          <w:b/>
          <w:sz w:val="24"/>
        </w:rPr>
        <w:t>Whereas,</w:t>
      </w:r>
      <w:r>
        <w:rPr>
          <w:rFonts w:ascii="Arial" w:eastAsia="Arial" w:hAnsi="Arial" w:cs="Arial"/>
        </w:rPr>
        <w:t xml:space="preserve"> </w:t>
      </w:r>
      <w:r w:rsidRPr="00A10E7E">
        <w:rPr>
          <w:rFonts w:ascii="Arial" w:eastAsia="Arial" w:hAnsi="Arial" w:cs="Arial"/>
        </w:rPr>
        <w:t>language in the prior law referencing the revocation pathway through the</w:t>
      </w:r>
      <w:r>
        <w:rPr>
          <w:rFonts w:ascii="Arial" w:eastAsia="Arial" w:hAnsi="Arial" w:cs="Arial"/>
        </w:rPr>
        <w:t xml:space="preserve"> Office of the</w:t>
      </w:r>
      <w:r w:rsidRPr="00A10E7E">
        <w:rPr>
          <w:rFonts w:ascii="Arial" w:eastAsia="Arial" w:hAnsi="Arial" w:cs="Arial"/>
        </w:rPr>
        <w:t xml:space="preserve"> Attorney General was not removed, which has created ambiguity; and</w:t>
      </w:r>
    </w:p>
    <w:p w:rsidR="00D802A3" w:rsidP="00D802A3">
      <w:pPr>
        <w:ind w:left="360" w:firstLine="360"/>
        <w:rPr>
          <w:rFonts w:ascii="Arial" w:eastAsia="Arial" w:hAnsi="Arial" w:cs="Arial"/>
        </w:rPr>
      </w:pPr>
      <w:bookmarkStart w:id="4" w:name="_WHEREAS_CLAUSE__48d7c9c4_ab57_461c_baf2"/>
      <w:bookmarkEnd w:id="3"/>
      <w:r>
        <w:rPr>
          <w:rFonts w:ascii="Arial" w:eastAsia="Arial" w:hAnsi="Arial" w:cs="Arial"/>
          <w:b/>
          <w:sz w:val="24"/>
        </w:rPr>
        <w:t>Whereas,</w:t>
      </w:r>
      <w:r>
        <w:rPr>
          <w:rFonts w:ascii="Arial" w:eastAsia="Arial" w:hAnsi="Arial" w:cs="Arial"/>
        </w:rPr>
        <w:t xml:space="preserve"> </w:t>
      </w:r>
      <w:r w:rsidRPr="00A10E7E">
        <w:rPr>
          <w:rFonts w:ascii="Arial" w:eastAsia="Arial" w:hAnsi="Arial" w:cs="Arial"/>
        </w:rPr>
        <w:t xml:space="preserve">it is imperative that this ambiguity be resolved as soon as possible to clarify the Emergency </w:t>
      </w:r>
      <w:r>
        <w:rPr>
          <w:rFonts w:ascii="Arial" w:eastAsia="Arial" w:hAnsi="Arial" w:cs="Arial"/>
        </w:rPr>
        <w:t xml:space="preserve">Medical </w:t>
      </w:r>
      <w:r w:rsidRPr="00A10E7E">
        <w:rPr>
          <w:rFonts w:ascii="Arial" w:eastAsia="Arial" w:hAnsi="Arial" w:cs="Arial"/>
        </w:rPr>
        <w:t>Services</w:t>
      </w:r>
      <w:r>
        <w:rPr>
          <w:rFonts w:ascii="Arial" w:eastAsia="Arial" w:hAnsi="Arial" w:cs="Arial"/>
        </w:rPr>
        <w:t>'</w:t>
      </w:r>
      <w:r w:rsidRPr="00A10E7E">
        <w:rPr>
          <w:rFonts w:ascii="Arial" w:eastAsia="Arial" w:hAnsi="Arial" w:cs="Arial"/>
        </w:rPr>
        <w:t xml:space="preserve"> Board</w:t>
      </w:r>
      <w:r>
        <w:rPr>
          <w:rFonts w:ascii="Arial" w:eastAsia="Arial" w:hAnsi="Arial" w:cs="Arial"/>
        </w:rPr>
        <w:t>'</w:t>
      </w:r>
      <w:r w:rsidRPr="00A10E7E">
        <w:rPr>
          <w:rFonts w:ascii="Arial" w:eastAsia="Arial" w:hAnsi="Arial" w:cs="Arial"/>
        </w:rPr>
        <w:t>s authority over the licensing of emergency medical services personnel; and</w:t>
      </w:r>
    </w:p>
    <w:bookmarkEnd w:id="4"/>
    <w:p w:rsidR="00D802A3" w:rsidP="00D802A3">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D802A3" w:rsidP="00D802A3">
      <w:pPr>
        <w:ind w:left="360"/>
        <w:rPr>
          <w:rFonts w:ascii="Arial" w:eastAsia="Arial" w:hAnsi="Arial" w:cs="Arial"/>
        </w:rPr>
      </w:pPr>
      <w:bookmarkStart w:id="5" w:name="_ENACTING_CLAUSE__41f287da_7c58_4828_8c1"/>
      <w:bookmarkStart w:id="6" w:name="_PAR__1_8fc01692_d2be_44a0_b084_130a0d3a"/>
      <w:bookmarkEnd w:id="0"/>
      <w:bookmarkEnd w:id="1"/>
      <w:r>
        <w:rPr>
          <w:rFonts w:ascii="Arial" w:eastAsia="Arial" w:hAnsi="Arial" w:cs="Arial"/>
          <w:b/>
        </w:rPr>
        <w:t>Be it enacted by the People of the State of Maine as follows:</w:t>
      </w:r>
    </w:p>
    <w:p w:rsidR="00D802A3" w:rsidP="00D802A3">
      <w:pPr>
        <w:ind w:left="360" w:firstLine="360"/>
        <w:rPr>
          <w:rFonts w:ascii="Arial" w:eastAsia="Arial" w:hAnsi="Arial" w:cs="Arial"/>
        </w:rPr>
      </w:pPr>
      <w:bookmarkStart w:id="7" w:name="_BILL_SECTION_HEADER__c5892429_fbee_4492"/>
      <w:bookmarkStart w:id="8" w:name="_PAR__2_73edaa7e_d72b_4293_b60c_06301785"/>
      <w:bookmarkStart w:id="9" w:name="_BILL_SECTION__493c8d09_956c_41ac_a9ba_f"/>
      <w:bookmarkStart w:id="10" w:name="_DOC_BODY_CONTENT__a1ff0eee_9201_4d5c_9a"/>
      <w:bookmarkEnd w:id="5"/>
      <w:bookmarkEnd w:id="6"/>
      <w:r>
        <w:rPr>
          <w:rFonts w:ascii="Arial" w:eastAsia="Arial" w:hAnsi="Arial" w:cs="Arial"/>
          <w:b/>
          <w:sz w:val="24"/>
        </w:rPr>
        <w:t xml:space="preserve">Sec. </w:t>
      </w:r>
      <w:bookmarkStart w:id="11" w:name="_BILL_SECTION_NUMBER__b2b1da09_88fe_40ff"/>
      <w:r>
        <w:rPr>
          <w:rFonts w:ascii="Arial" w:eastAsia="Arial" w:hAnsi="Arial" w:cs="Arial"/>
          <w:b/>
          <w:sz w:val="24"/>
        </w:rPr>
        <w:t>1</w:t>
      </w:r>
      <w:bookmarkEnd w:id="11"/>
      <w:r>
        <w:rPr>
          <w:rFonts w:ascii="Arial" w:eastAsia="Arial" w:hAnsi="Arial" w:cs="Arial"/>
          <w:b/>
          <w:sz w:val="24"/>
        </w:rPr>
        <w:t>.  32 MRSA §90-A, sub-§4, ¶D,</w:t>
      </w:r>
      <w:r>
        <w:rPr>
          <w:rFonts w:ascii="Arial" w:eastAsia="Arial" w:hAnsi="Arial" w:cs="Arial"/>
        </w:rPr>
        <w:t xml:space="preserve"> as amended by PL 2001, c. 229, §7, is further amended to read:</w:t>
      </w:r>
    </w:p>
    <w:p w:rsidR="00D802A3" w:rsidP="00D802A3">
      <w:pPr>
        <w:ind w:left="720"/>
        <w:rPr>
          <w:rFonts w:ascii="Arial" w:eastAsia="Arial" w:hAnsi="Arial" w:cs="Arial"/>
        </w:rPr>
      </w:pPr>
      <w:bookmarkStart w:id="12" w:name="_STATUTE_NUMBER__0759585c_19a7_4bc0_beed"/>
      <w:bookmarkStart w:id="13" w:name="_STATUTE_P__aa1f7d4d_afb3_40e8_bf3c_8743"/>
      <w:bookmarkStart w:id="14" w:name="_PAR__3_6c50fd0d_a658_4c76_ac33_0aae9b53"/>
      <w:bookmarkEnd w:id="7"/>
      <w:bookmarkEnd w:id="8"/>
      <w:r>
        <w:rPr>
          <w:rFonts w:ascii="Arial" w:eastAsia="Arial" w:hAnsi="Arial" w:cs="Arial"/>
        </w:rPr>
        <w:t>D</w:t>
      </w:r>
      <w:bookmarkEnd w:id="12"/>
      <w:r>
        <w:rPr>
          <w:rFonts w:ascii="Arial" w:eastAsia="Arial" w:hAnsi="Arial" w:cs="Arial"/>
        </w:rPr>
        <w:t xml:space="preserve">.  </w:t>
      </w:r>
      <w:bookmarkStart w:id="15" w:name="_STATUTE_CONTENT__102131e2_2d99_4ea1_a18"/>
      <w:r>
        <w:rPr>
          <w:rFonts w:ascii="Arial" w:eastAsia="Arial" w:hAnsi="Arial" w:cs="Arial"/>
        </w:rPr>
        <w:t xml:space="preserve">Except in the specific circumstances where </w:t>
      </w:r>
      <w:bookmarkStart w:id="16" w:name="_CROSS_REFERENCE__f152a2d2_580e_4006_82a"/>
      <w:r>
        <w:rPr>
          <w:rFonts w:ascii="Arial" w:eastAsia="Arial" w:hAnsi="Arial" w:cs="Arial"/>
        </w:rPr>
        <w:t>Title 5, section 10004</w:t>
      </w:r>
      <w:bookmarkEnd w:id="16"/>
      <w:r>
        <w:rPr>
          <w:rFonts w:ascii="Arial" w:eastAsia="Arial" w:hAnsi="Arial" w:cs="Arial"/>
        </w:rPr>
        <w:t xml:space="preserve"> may be invoked, if the board or its staff concludes that suspension beyond the authority conferred by </w:t>
      </w:r>
      <w:bookmarkStart w:id="17" w:name="_CROSS_REFERENCE__03ad57df_53d6_424b_acc"/>
      <w:r>
        <w:rPr>
          <w:rFonts w:ascii="Arial" w:eastAsia="Arial" w:hAnsi="Arial" w:cs="Arial"/>
        </w:rPr>
        <w:t>section 88</w:t>
      </w:r>
      <w:bookmarkEnd w:id="17"/>
      <w:r>
        <w:rPr>
          <w:rFonts w:ascii="Arial" w:eastAsia="Arial" w:hAnsi="Arial" w:cs="Arial"/>
        </w:rPr>
        <w:t xml:space="preserve"> </w:t>
      </w:r>
      <w:r>
        <w:rPr>
          <w:rFonts w:ascii="Arial" w:eastAsia="Arial" w:hAnsi="Arial" w:cs="Arial"/>
          <w:strike/>
        </w:rPr>
        <w:t>or revocation</w:t>
      </w:r>
      <w:r>
        <w:rPr>
          <w:rFonts w:ascii="Arial" w:eastAsia="Arial" w:hAnsi="Arial" w:cs="Arial"/>
        </w:rPr>
        <w:t xml:space="preserve"> of the license is in order, the board or its staff shall request the Attorney General to file a complaint in the District Court in accordance with </w:t>
      </w:r>
      <w:bookmarkStart w:id="18" w:name="_CROSS_REFERENCE__ad87e4e2_6871_42a3_870"/>
      <w:r>
        <w:rPr>
          <w:rFonts w:ascii="Arial" w:eastAsia="Arial" w:hAnsi="Arial" w:cs="Arial"/>
        </w:rPr>
        <w:t>Title 4, chapter 5</w:t>
      </w:r>
      <w:bookmarkEnd w:id="18"/>
      <w:r>
        <w:rPr>
          <w:rFonts w:ascii="Arial" w:eastAsia="Arial" w:hAnsi="Arial" w:cs="Arial"/>
        </w:rPr>
        <w:t xml:space="preserve"> and the Maine Administrative Procedure Act to commence either full or emergency proceedings.</w:t>
      </w:r>
      <w:bookmarkEnd w:id="15"/>
    </w:p>
    <w:p w:rsidR="00000000" w:rsidP="00D802A3">
      <w:pPr>
        <w:ind w:left="360" w:firstLine="360"/>
        <w:rPr>
          <w:rFonts w:ascii="Arial" w:eastAsia="Arial" w:hAnsi="Arial" w:cs="Arial"/>
        </w:rPr>
      </w:pPr>
      <w:bookmarkStart w:id="19" w:name="_EMERGENCY_CLAUSE__e93ce786_ebbd_4d3c_b5"/>
      <w:bookmarkStart w:id="20" w:name="_INSTRUCTION__6cd2a3b0_7d51_4ddc_a224_04"/>
      <w:bookmarkEnd w:id="9"/>
      <w:bookmarkEnd w:id="10"/>
      <w:bookmarkEnd w:id="13"/>
      <w:bookmarkEnd w:id="14"/>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19"/>
      <w:bookmarkEnd w:id="2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LR0360,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Amend the Law Governing Licensing Actions of the Emergency Medical Services' Board</w:t>
    </w:r>
  </w:p>
  <w:p>
    <w:pPr>
      <w:suppressLineNumbers/>
      <w:spacing w:before="0" w:after="0"/>
      <w:jc w:val="center"/>
      <w:rPr>
        <w:rFonts w:ascii="Arial" w:eastAsia="Arial" w:hAnsi="Arial" w:cs="Arial"/>
      </w:rPr>
    </w:pPr>
    <w:r>
      <w:rPr>
        <w:rFonts w:ascii="Arial" w:eastAsia="Arial" w:hAnsi="Arial" w:cs="Arial"/>
        <w:sz w:val="22"/>
      </w:rPr>
      <w:t>L.D. 47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10E7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802A3"/>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