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Public Access to or Dissemination of Electronic Citation and Electronic Warning Information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15 - L.D. 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Limit Public Access to or Dissemination of Electronic Citation and Electronic Warning Information</w:t>
      </w:r>
    </w:p>
    <w:p w:rsidR="002B38BF" w:rsidP="002B38BF">
      <w:pPr>
        <w:ind w:left="360"/>
        <w:rPr>
          <w:rFonts w:ascii="Arial" w:eastAsia="Arial" w:hAnsi="Arial" w:cs="Arial"/>
        </w:rPr>
      </w:pPr>
      <w:bookmarkStart w:id="0" w:name="_ENACTING_CLAUSE__856a188f_d419_4dd1_bdc"/>
      <w:bookmarkStart w:id="1" w:name="_PAR__1_f42483c6_755d_4f9c_a1f9_1ae9f333"/>
      <w:bookmarkStart w:id="2" w:name="_DOC_BODY_CONTAINER__cb38f069_44c8_4e53_"/>
      <w:r>
        <w:rPr>
          <w:rFonts w:ascii="Arial" w:eastAsia="Arial" w:hAnsi="Arial" w:cs="Arial"/>
          <w:b/>
        </w:rPr>
        <w:t>Be it enacted by the People of the State of Maine as follows:</w:t>
      </w:r>
    </w:p>
    <w:p w:rsidR="002B38BF" w:rsidP="002B38BF">
      <w:pPr>
        <w:ind w:left="360" w:firstLine="360"/>
        <w:rPr>
          <w:rFonts w:ascii="Arial" w:eastAsia="Arial" w:hAnsi="Arial" w:cs="Arial"/>
        </w:rPr>
      </w:pPr>
      <w:bookmarkStart w:id="3" w:name="_BILL_SECTION_HEADER__aaa1f7fb_42a4_4256"/>
      <w:bookmarkStart w:id="4" w:name="_BILL_SECTION__8812f52b_178c_4312_872d_5"/>
      <w:bookmarkStart w:id="5" w:name="_INSTRUCTION__3edd1bd0_a018_4a89_81b8_d7"/>
      <w:bookmarkStart w:id="6" w:name="_DOC_BODY_CONTENT__a9541a7f_cfc7_40dc_99"/>
      <w:bookmarkEnd w:id="0"/>
      <w:bookmarkEnd w:id="1"/>
      <w:r>
        <w:rPr>
          <w:rFonts w:ascii="Arial" w:eastAsia="Arial" w:hAnsi="Arial" w:cs="Arial"/>
          <w:b/>
          <w:sz w:val="24"/>
        </w:rPr>
        <w:t xml:space="preserve">Sec. </w:t>
      </w:r>
      <w:bookmarkStart w:id="7" w:name="_BILL_SECTION_NUMBER__026e13c2_c53e_45d9"/>
      <w:r>
        <w:rPr>
          <w:rFonts w:ascii="Arial" w:eastAsia="Arial" w:hAnsi="Arial" w:cs="Arial"/>
          <w:b/>
          <w:sz w:val="24"/>
        </w:rPr>
        <w:t>1</w:t>
      </w:r>
      <w:bookmarkEnd w:id="7"/>
      <w:r>
        <w:rPr>
          <w:rFonts w:ascii="Arial" w:eastAsia="Arial" w:hAnsi="Arial" w:cs="Arial"/>
          <w:b/>
          <w:sz w:val="24"/>
        </w:rPr>
        <w:t>.  29-A MRSA §2601, sub-§3-A,</w:t>
      </w:r>
      <w:r>
        <w:rPr>
          <w:rFonts w:ascii="Arial" w:eastAsia="Arial" w:hAnsi="Arial" w:cs="Arial"/>
        </w:rPr>
        <w:t xml:space="preserve"> as enacted by PL 2013, c. 112, §9, is amended to read:</w:t>
      </w:r>
    </w:p>
    <w:p w:rsidR="00000000" w:rsidP="002B38BF">
      <w:pPr>
        <w:ind w:left="360" w:firstLine="360"/>
        <w:rPr>
          <w:rFonts w:ascii="Arial" w:eastAsia="Arial" w:hAnsi="Arial" w:cs="Arial"/>
        </w:rPr>
      </w:pPr>
      <w:bookmarkStart w:id="8" w:name="_STATUTE_NUMBER__fa36e82e_a0e7_4f0a_9940"/>
      <w:bookmarkStart w:id="9" w:name="_STATUTE_SS__6d7af05c_9a3a_45e7_a84a_aa7"/>
      <w:bookmarkEnd w:id="3"/>
      <w:r>
        <w:rPr>
          <w:rFonts w:ascii="Arial" w:eastAsia="Arial" w:hAnsi="Arial" w:cs="Arial"/>
          <w:b/>
        </w:rPr>
        <w:t>3-A</w:t>
      </w:r>
      <w:bookmarkEnd w:id="8"/>
      <w:r>
        <w:rPr>
          <w:rFonts w:ascii="Arial" w:eastAsia="Arial" w:hAnsi="Arial" w:cs="Arial"/>
          <w:b/>
        </w:rPr>
        <w:t xml:space="preserve">.  </w:t>
      </w:r>
      <w:bookmarkStart w:id="10" w:name="_STATUTE_HEADNOTE__cbf6a732_1503_4e0b_8f"/>
      <w:r>
        <w:rPr>
          <w:rFonts w:ascii="Arial" w:eastAsia="Arial" w:hAnsi="Arial" w:cs="Arial"/>
          <w:b/>
        </w:rPr>
        <w:t>Electronic Violation Summons and Complaint.</w:t>
      </w:r>
      <w:bookmarkEnd w:id="10"/>
      <w:r>
        <w:rPr>
          <w:rFonts w:ascii="Arial" w:eastAsia="Arial" w:hAnsi="Arial" w:cs="Arial"/>
          <w:b/>
        </w:rPr>
        <w:t xml:space="preserve"> </w:t>
      </w:r>
      <w:r>
        <w:rPr>
          <w:rFonts w:ascii="Arial" w:eastAsia="Arial" w:hAnsi="Arial" w:cs="Arial"/>
        </w:rPr>
        <w:t xml:space="preserve"> </w:t>
      </w:r>
      <w:bookmarkStart w:id="11" w:name="_STATUTE_CONTENT__a9628056_25d6_43f0_947"/>
      <w:r>
        <w:rPr>
          <w:rFonts w:ascii="Arial" w:eastAsia="Arial" w:hAnsi="Arial" w:cs="Arial"/>
        </w:rPr>
        <w:t xml:space="preserve">Notwithstanding </w:t>
      </w:r>
      <w:bookmarkStart w:id="12" w:name="_CROSS_REFERENCE__4dd53f48_7bf2_4a8e_96d"/>
      <w:r>
        <w:rPr>
          <w:rFonts w:ascii="Arial" w:eastAsia="Arial" w:hAnsi="Arial" w:cs="Arial"/>
        </w:rPr>
        <w:t>subsection 3</w:t>
      </w:r>
      <w:bookmarkEnd w:id="12"/>
      <w:r>
        <w:rPr>
          <w:rFonts w:ascii="Arial" w:eastAsia="Arial" w:hAnsi="Arial" w:cs="Arial"/>
        </w:rPr>
        <w:t>, the Chief Judge of the District Court may approve for use an electronic Violation Summons and Complaint form.  The electronic Violation Summons and Complaint form must include, at a minimum, an electronic or digital signature of the officer, a brief description of the alleged offense, the time and place of the alleged offense and the date on or before which the person is to file a written answer with the violations bureau.</w:t>
      </w:r>
      <w:bookmarkStart w:id="13" w:name="_REV__6b02d288_54f9_447e_b752_5a8a86db4f"/>
      <w:bookmarkStart w:id="14" w:name="_PROCESSED_CHANGE__19ce58d0_7083_4826_b6"/>
      <w:bookmarkStart w:id="15" w:name="_PROCESSED_CHANGE__b65b796b_08d8_4ccc_a2"/>
      <w:bookmarkStart w:id="16" w:name="_PROCESSED_CHANGE__deb782b5_1627_4f53_a0"/>
      <w:r>
        <w:rPr>
          <w:rFonts w:ascii="Arial" w:eastAsia="Arial" w:hAnsi="Arial" w:cs="Arial"/>
        </w:rPr>
        <w:t xml:space="preserve"> </w:t>
      </w:r>
      <w:r>
        <w:rPr>
          <w:rFonts w:ascii="Arial" w:eastAsia="Arial" w:hAnsi="Arial" w:cs="Arial"/>
          <w:u w:val="single"/>
        </w:rPr>
        <w:t>Personally identifying information that is contained in the electronic citation or the electronic warning database maintained, administered or contributed to by the Department of Public Safety, Bureau of State Police is confidential, except that personally identifying information that is contained in these databases may be shared with another criminal justice agency, delivered to the person under subsection 7 and transmitted to the violation</w:t>
      </w:r>
      <w:r>
        <w:rPr>
          <w:rFonts w:ascii="Arial" w:eastAsia="Arial" w:hAnsi="Arial" w:cs="Arial"/>
          <w:u w:val="single"/>
        </w:rPr>
        <w:t>s</w:t>
      </w:r>
      <w:r>
        <w:rPr>
          <w:rFonts w:ascii="Arial" w:eastAsia="Arial" w:hAnsi="Arial" w:cs="Arial"/>
          <w:u w:val="single"/>
        </w:rPr>
        <w:t xml:space="preserve"> bureau as required by subsection 9. For the purpose</w:t>
      </w:r>
      <w:r>
        <w:rPr>
          <w:rFonts w:ascii="Arial" w:eastAsia="Arial" w:hAnsi="Arial" w:cs="Arial"/>
          <w:u w:val="single"/>
        </w:rPr>
        <w:t>s</w:t>
      </w:r>
      <w:r>
        <w:rPr>
          <w:rFonts w:ascii="Arial" w:eastAsia="Arial" w:hAnsi="Arial" w:cs="Arial"/>
          <w:u w:val="single"/>
        </w:rPr>
        <w:t xml:space="preserve"> of this </w:t>
      </w:r>
      <w:r>
        <w:rPr>
          <w:rFonts w:ascii="Arial" w:eastAsia="Arial" w:hAnsi="Arial" w:cs="Arial"/>
          <w:u w:val="single"/>
        </w:rPr>
        <w:t>sub</w:t>
      </w:r>
      <w:r>
        <w:rPr>
          <w:rFonts w:ascii="Arial" w:eastAsia="Arial" w:hAnsi="Arial" w:cs="Arial"/>
          <w:u w:val="single"/>
        </w:rPr>
        <w:t>section, "personally identifying information" means an individual's name, residential and post office mailing address</w:t>
      </w:r>
      <w:r>
        <w:rPr>
          <w:rFonts w:ascii="Arial" w:eastAsia="Arial" w:hAnsi="Arial" w:cs="Arial"/>
          <w:u w:val="single"/>
        </w:rPr>
        <w:t>es</w:t>
      </w:r>
      <w:r>
        <w:rPr>
          <w:rFonts w:ascii="Arial" w:eastAsia="Arial" w:hAnsi="Arial" w:cs="Arial"/>
          <w:u w:val="single"/>
        </w:rPr>
        <w:t>, date of birth</w:t>
      </w:r>
      <w:r>
        <w:rPr>
          <w:rFonts w:ascii="Arial" w:eastAsia="Arial" w:hAnsi="Arial" w:cs="Arial"/>
          <w:u w:val="single"/>
        </w:rPr>
        <w:t xml:space="preserve"> and</w:t>
      </w:r>
      <w:r>
        <w:rPr>
          <w:rFonts w:ascii="Arial" w:eastAsia="Arial" w:hAnsi="Arial" w:cs="Arial"/>
          <w:u w:val="single"/>
        </w:rPr>
        <w:t xml:space="preserve"> driver's license number, a vehicle registration plate number and any other information contained in a data field that may be used to identify a person</w:t>
      </w:r>
      <w:r>
        <w:rPr>
          <w:rFonts w:ascii="Arial" w:eastAsia="Arial" w:hAnsi="Arial" w:cs="Arial"/>
          <w:u w:val="single"/>
        </w:rPr>
        <w:t>.</w:t>
      </w:r>
      <w:bookmarkEnd w:id="11"/>
      <w:bookmarkEnd w:id="13"/>
      <w:bookmarkEnd w:id="14"/>
      <w:bookmarkEnd w:id="15"/>
      <w:bookmarkEnd w:id="16"/>
      <w:bookmarkEnd w:id="2"/>
      <w:bookmarkEnd w:id="4"/>
      <w:bookmarkEnd w:id="5"/>
      <w:bookmarkEnd w:id="6"/>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Limit Public Access to or Dissemination of Electronic Citation and Electronic Warning Information</w:t>
    </w:r>
  </w:p>
  <w:p>
    <w:pPr>
      <w:suppressLineNumbers/>
      <w:spacing w:before="0" w:after="0"/>
      <w:jc w:val="center"/>
      <w:rPr>
        <w:rFonts w:ascii="Arial" w:eastAsia="Arial" w:hAnsi="Arial" w:cs="Arial"/>
      </w:rPr>
    </w:pPr>
    <w:r>
      <w:rPr>
        <w:rFonts w:ascii="Arial" w:eastAsia="Arial" w:hAnsi="Arial" w:cs="Arial"/>
        <w:sz w:val="22"/>
      </w:rPr>
      <w:t>L.D. 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B38BF"/>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