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Resolve, Regarding Legislative Review of Portions of Chapter 6:  Standards Relating to Prescriptive Authorities and Collaborative Relationship for Naturopathic Doctors, a Late-filed Major Substantive Rule of the Department of Professional and Financial Regulation</w:t>
      </w:r>
    </w:p>
    <w:p w:rsidR="00193A88" w:rsidP="00193A88">
      <w:pPr>
        <w:spacing w:after="240"/>
        <w:ind w:left="360"/>
        <w:jc w:val="right"/>
        <w:rPr>
          <w:rFonts w:ascii="Arial" w:eastAsia="Arial" w:hAnsi="Arial" w:cs="Arial"/>
          <w:caps/>
        </w:rPr>
      </w:pPr>
      <w:bookmarkStart w:id="0" w:name="_AMEND_TITLE__6bb2a948_4298_49f0_a107_6b"/>
      <w:bookmarkStart w:id="1" w:name="_PAGE__1_59d50f24_d9ad_41b0_a962_e64babd"/>
      <w:bookmarkStart w:id="2" w:name="_PAR__2_f65ceeca_7cd8_4154_b988_df33b152"/>
      <w:r>
        <w:rPr>
          <w:rFonts w:ascii="Arial" w:eastAsia="Arial" w:hAnsi="Arial" w:cs="Arial"/>
          <w:caps/>
        </w:rPr>
        <w:t>L.D. 2242</w:t>
      </w:r>
    </w:p>
    <w:p w:rsidR="00193A88" w:rsidP="00193A88">
      <w:pPr>
        <w:tabs>
          <w:tab w:val="right" w:pos="8928"/>
        </w:tabs>
        <w:spacing w:after="360"/>
        <w:ind w:left="360"/>
        <w:rPr>
          <w:rFonts w:ascii="Arial" w:eastAsia="Arial" w:hAnsi="Arial" w:cs="Arial"/>
        </w:rPr>
      </w:pPr>
      <w:bookmarkStart w:id="3" w:name="_PAR__3_21d783e9_1613_4e9b_9ff1_e917d80b"/>
      <w:bookmarkEnd w:id="2"/>
      <w:r>
        <w:rPr>
          <w:rFonts w:ascii="Arial" w:eastAsia="Arial" w:hAnsi="Arial" w:cs="Arial"/>
        </w:rPr>
        <w:t>Date:</w:t>
      </w:r>
      <w:r>
        <w:rPr>
          <w:rFonts w:ascii="Arial" w:eastAsia="Arial" w:hAnsi="Arial" w:cs="Arial"/>
        </w:rPr>
        <w:tab/>
        <w:t>(Filing No. H-         )</w:t>
      </w:r>
    </w:p>
    <w:p w:rsidR="00193A88" w:rsidP="00193A88">
      <w:pPr>
        <w:spacing w:before="600" w:after="300"/>
        <w:ind w:left="360"/>
        <w:jc w:val="center"/>
        <w:outlineLvl w:val="0"/>
        <w:rPr>
          <w:rFonts w:ascii="Arial" w:eastAsia="Arial" w:hAnsi="Arial" w:cs="Arial"/>
        </w:rPr>
      </w:pPr>
      <w:bookmarkStart w:id="4" w:name="_PAR__4_3551b40e_f746_4427_9922_82a1b05e"/>
      <w:bookmarkEnd w:id="3"/>
      <w:r>
        <w:rPr>
          <w:rFonts w:ascii="Arial" w:eastAsia="Arial" w:hAnsi="Arial" w:cs="Arial"/>
          <w:b/>
          <w:caps/>
          <w:sz w:val="24"/>
          <w:szCs w:val="32"/>
        </w:rPr>
        <w:t xml:space="preserve">Health Coverage, Insurance and Financial Services </w:t>
      </w:r>
    </w:p>
    <w:p w:rsidR="00193A88" w:rsidP="00193A88">
      <w:pPr>
        <w:spacing w:before="60" w:after="60"/>
        <w:ind w:left="720"/>
        <w:rPr>
          <w:rFonts w:ascii="Arial" w:eastAsia="Arial" w:hAnsi="Arial" w:cs="Arial"/>
        </w:rPr>
      </w:pPr>
      <w:bookmarkStart w:id="5" w:name="_PAR__5_fb6f77b8_5f76_45be_a780_cf43598d"/>
      <w:bookmarkEnd w:id="4"/>
      <w:r>
        <w:rPr>
          <w:rFonts w:ascii="Arial" w:eastAsia="Arial" w:hAnsi="Arial" w:cs="Arial"/>
        </w:rPr>
        <w:t>Reproduced and distributed under the direction of the Clerk of the House.</w:t>
      </w:r>
    </w:p>
    <w:p w:rsidR="00193A88" w:rsidP="00193A88">
      <w:pPr>
        <w:spacing w:before="160" w:after="0"/>
        <w:ind w:left="360"/>
        <w:jc w:val="center"/>
        <w:outlineLvl w:val="0"/>
        <w:rPr>
          <w:rFonts w:ascii="Arial" w:eastAsia="Arial" w:hAnsi="Arial" w:cs="Arial"/>
          <w:b/>
          <w:caps/>
          <w:sz w:val="24"/>
          <w:szCs w:val="32"/>
        </w:rPr>
      </w:pPr>
      <w:bookmarkStart w:id="6" w:name="_PAR__6_518c311b_f143_4c84_b424_ddf8be59"/>
      <w:bookmarkEnd w:id="5"/>
      <w:r>
        <w:rPr>
          <w:rFonts w:ascii="Arial" w:eastAsia="Arial" w:hAnsi="Arial" w:cs="Arial"/>
          <w:b/>
          <w:caps/>
          <w:sz w:val="24"/>
          <w:szCs w:val="32"/>
        </w:rPr>
        <w:t>STATE OF MAINE</w:t>
      </w:r>
    </w:p>
    <w:p w:rsidR="00193A88" w:rsidP="00193A88">
      <w:pPr>
        <w:spacing w:after="0"/>
        <w:ind w:left="360"/>
        <w:jc w:val="center"/>
        <w:outlineLvl w:val="0"/>
        <w:rPr>
          <w:rFonts w:ascii="Arial" w:eastAsia="Arial" w:hAnsi="Arial" w:cs="Arial"/>
          <w:b/>
          <w:caps/>
          <w:sz w:val="24"/>
          <w:szCs w:val="32"/>
        </w:rPr>
      </w:pPr>
      <w:bookmarkStart w:id="7" w:name="_PAR__7_716e0bbb_c843_4798_a852_d2d4de65"/>
      <w:bookmarkEnd w:id="6"/>
      <w:r>
        <w:rPr>
          <w:rFonts w:ascii="Arial" w:eastAsia="Arial" w:hAnsi="Arial" w:cs="Arial"/>
          <w:b/>
          <w:caps/>
          <w:sz w:val="24"/>
          <w:szCs w:val="32"/>
        </w:rPr>
        <w:t>HOUSE OF REPRESENTATIVES</w:t>
      </w:r>
    </w:p>
    <w:p w:rsidR="00193A88" w:rsidP="00193A88">
      <w:pPr>
        <w:spacing w:after="0"/>
        <w:ind w:left="360"/>
        <w:jc w:val="center"/>
        <w:outlineLvl w:val="0"/>
        <w:rPr>
          <w:rFonts w:ascii="Arial" w:eastAsia="Arial" w:hAnsi="Arial" w:cs="Arial"/>
          <w:b/>
          <w:caps/>
          <w:sz w:val="24"/>
          <w:szCs w:val="32"/>
        </w:rPr>
      </w:pPr>
      <w:bookmarkStart w:id="8" w:name="_PAR__8_af1890da_200a_42ce_955d_97e87cdd"/>
      <w:bookmarkEnd w:id="7"/>
      <w:r>
        <w:rPr>
          <w:rFonts w:ascii="Arial" w:eastAsia="Arial" w:hAnsi="Arial" w:cs="Arial"/>
          <w:b/>
          <w:caps/>
          <w:sz w:val="24"/>
          <w:szCs w:val="32"/>
        </w:rPr>
        <w:t>132nd Legislature</w:t>
      </w:r>
    </w:p>
    <w:p w:rsidR="00193A88" w:rsidP="00193A88">
      <w:pPr>
        <w:spacing w:after="0"/>
        <w:ind w:left="360"/>
        <w:jc w:val="center"/>
        <w:outlineLvl w:val="0"/>
        <w:rPr>
          <w:rFonts w:ascii="Arial" w:eastAsia="Arial" w:hAnsi="Arial" w:cs="Arial"/>
          <w:b/>
          <w:caps/>
          <w:sz w:val="24"/>
          <w:szCs w:val="32"/>
        </w:rPr>
      </w:pPr>
      <w:bookmarkStart w:id="9" w:name="_PAR__9_7c464d31_54df_405c_a7fc_17d69ffc"/>
      <w:bookmarkEnd w:id="8"/>
      <w:r>
        <w:rPr>
          <w:rFonts w:ascii="Arial" w:eastAsia="Arial" w:hAnsi="Arial" w:cs="Arial"/>
          <w:b/>
          <w:caps/>
          <w:sz w:val="24"/>
          <w:szCs w:val="32"/>
        </w:rPr>
        <w:t>Second Regular Session</w:t>
      </w:r>
    </w:p>
    <w:p w:rsidR="00193A88" w:rsidP="00193A88">
      <w:pPr>
        <w:spacing w:before="400" w:after="200"/>
        <w:ind w:left="360" w:firstLine="360"/>
        <w:rPr>
          <w:rFonts w:ascii="Arial" w:eastAsia="Arial" w:hAnsi="Arial" w:cs="Arial"/>
        </w:rPr>
      </w:pPr>
      <w:bookmarkStart w:id="10" w:name="_PAR__10_4a7e577f_724e_44a4_b9d3_7ddd09c"/>
      <w:bookmarkEnd w:id="9"/>
      <w:r>
        <w:rPr>
          <w:rFonts w:ascii="Arial" w:eastAsia="Arial" w:hAnsi="Arial" w:cs="Arial"/>
          <w:szCs w:val="22"/>
        </w:rPr>
        <w:t>COMMITTEE AMENDMENT “      ” to H.P. 1521, L.D. 2242, “Resolve, Regarding Legislative Review of Portions of Chapter 6:  Standards Relating to Prescriptive Authorities and Collaborative Relationship for Naturopathic Doctors, a Late-filed Major Substantive Rule of the Department of Professional and Financial Regulation”</w:t>
      </w:r>
    </w:p>
    <w:p w:rsidR="00193A88" w:rsidP="00193A88">
      <w:pPr>
        <w:ind w:left="360" w:firstLine="360"/>
        <w:rPr>
          <w:rFonts w:ascii="Arial" w:eastAsia="Arial" w:hAnsi="Arial" w:cs="Arial"/>
        </w:rPr>
      </w:pPr>
      <w:bookmarkStart w:id="11" w:name="_INSTRUCTION__4ee78f90_3915_40cf_b08e_d0"/>
      <w:bookmarkStart w:id="12" w:name="_PAR__11_2cb3c43f_3316_44b7_812f_feebd01"/>
      <w:bookmarkEnd w:id="0"/>
      <w:bookmarkEnd w:id="10"/>
      <w:r>
        <w:rPr>
          <w:rFonts w:ascii="Arial" w:eastAsia="Arial" w:hAnsi="Arial" w:cs="Arial"/>
        </w:rPr>
        <w:t>Amend the resolve by striking out all of section 1 and inserting the following:</w:t>
      </w:r>
    </w:p>
    <w:p w:rsidR="00193A88" w:rsidP="00193A88">
      <w:pPr>
        <w:ind w:left="360" w:firstLine="360"/>
        <w:rPr>
          <w:rFonts w:ascii="Arial" w:eastAsia="Arial" w:hAnsi="Arial" w:cs="Arial"/>
        </w:rPr>
      </w:pPr>
      <w:bookmarkStart w:id="13" w:name="_PAR__12_ba794614_6986_48fe_a820_2df78b1"/>
      <w:bookmarkEnd w:id="12"/>
      <w:r>
        <w:rPr>
          <w:rFonts w:ascii="Arial" w:eastAsia="Arial" w:hAnsi="Arial" w:cs="Arial"/>
        </w:rPr>
        <w:t>'</w:t>
      </w:r>
      <w:r>
        <w:rPr>
          <w:rFonts w:ascii="Arial" w:eastAsia="Arial" w:hAnsi="Arial" w:cs="Arial"/>
          <w:b/>
          <w:sz w:val="24"/>
        </w:rPr>
        <w:t>Sec. 1.</w:t>
      </w:r>
      <w:r>
        <w:rPr>
          <w:rFonts w:ascii="Arial" w:eastAsia="Arial" w:hAnsi="Arial" w:cs="Arial"/>
        </w:rPr>
        <w:t xml:space="preserve">  </w:t>
      </w:r>
      <w:r w:rsidRPr="00DE4F9E">
        <w:rPr>
          <w:rFonts w:ascii="Arial" w:eastAsia="Arial" w:hAnsi="Arial" w:cs="Arial"/>
          <w:b/>
          <w:sz w:val="24"/>
        </w:rPr>
        <w:t>Adoption.  Resolved:</w:t>
      </w:r>
      <w:r w:rsidRPr="00DE4F9E">
        <w:rPr>
          <w:rFonts w:ascii="Arial" w:eastAsia="Arial" w:hAnsi="Arial" w:cs="Arial"/>
          <w:sz w:val="24"/>
        </w:rPr>
        <w:t xml:space="preserve">  </w:t>
      </w:r>
      <w:r>
        <w:rPr>
          <w:rFonts w:ascii="Arial" w:eastAsia="Arial" w:hAnsi="Arial" w:cs="Arial"/>
        </w:rPr>
        <w:t xml:space="preserve">That final adoption of portions of Chapter 6:  Standards Relating to Prescriptive Authorities and Collaborative Relationship for Naturopathic Doctors, a provisionally adopted major substantive rule of the Department of Professional and Financial Regulation that has been submitted to the Legislature for review pursuant to the Maine Revised Statutes, Title 5, chapter 375, subchapter 2-A outside the legislative rule acceptance period, is authorized only if the rule is amended to: </w:t>
      </w:r>
    </w:p>
    <w:p w:rsidR="00193A88" w:rsidP="00193A88">
      <w:pPr>
        <w:ind w:left="360" w:firstLine="360"/>
        <w:rPr>
          <w:rFonts w:ascii="Arial" w:eastAsia="Arial" w:hAnsi="Arial" w:cs="Arial"/>
        </w:rPr>
      </w:pPr>
      <w:bookmarkStart w:id="14" w:name="_PAR__13_12b7c78c_3949_44d8_8278_d557b42"/>
      <w:bookmarkEnd w:id="13"/>
      <w:r>
        <w:rPr>
          <w:rFonts w:ascii="Arial" w:eastAsia="Arial" w:hAnsi="Arial" w:cs="Arial"/>
        </w:rPr>
        <w:t>1.  Specify that the products listed in Section 1(D) are limited to products that are approved by the federal Food and Drug Administration and do not require compounding or administration by injection or infusion;</w:t>
      </w:r>
    </w:p>
    <w:p w:rsidR="00193A88" w:rsidP="00193A88">
      <w:pPr>
        <w:ind w:left="360" w:firstLine="360"/>
        <w:rPr>
          <w:rFonts w:ascii="Arial" w:eastAsia="Arial" w:hAnsi="Arial" w:cs="Arial"/>
        </w:rPr>
      </w:pPr>
      <w:bookmarkStart w:id="15" w:name="_PAR__14_51a8eff2_8b4b_42c3_bed0_bbe76f6"/>
      <w:bookmarkEnd w:id="14"/>
      <w:r>
        <w:rPr>
          <w:rFonts w:ascii="Arial" w:eastAsia="Arial" w:hAnsi="Arial" w:cs="Arial"/>
        </w:rPr>
        <w:t>2.  Specify in Section 1(E) that contraceptive devices do not include intrauterine devices and implants;</w:t>
      </w:r>
    </w:p>
    <w:p w:rsidR="00193A88" w:rsidP="00193A88">
      <w:pPr>
        <w:ind w:left="360" w:firstLine="360"/>
        <w:rPr>
          <w:rFonts w:ascii="Arial" w:eastAsia="Arial" w:hAnsi="Arial" w:cs="Arial"/>
        </w:rPr>
      </w:pPr>
      <w:bookmarkStart w:id="16" w:name="_PAR__15_a386fad1_15c1_4277_b966_713a283"/>
      <w:bookmarkEnd w:id="15"/>
      <w:r>
        <w:rPr>
          <w:rFonts w:ascii="Arial" w:eastAsia="Arial" w:hAnsi="Arial" w:cs="Arial"/>
        </w:rPr>
        <w:t>3.  Specify in Section 1(F) that medical appliances and devices are limited to appliances and devices that do not require surgical intervention or invasive intervention;</w:t>
      </w:r>
    </w:p>
    <w:p w:rsidR="00193A88" w:rsidP="00193A88">
      <w:pPr>
        <w:ind w:left="360" w:firstLine="360"/>
        <w:rPr>
          <w:rFonts w:ascii="Arial" w:eastAsia="Arial" w:hAnsi="Arial" w:cs="Arial"/>
        </w:rPr>
      </w:pPr>
      <w:bookmarkStart w:id="17" w:name="_PAR__16_87e1194a_3c6d_4ff2_9077_5c60baf"/>
      <w:bookmarkEnd w:id="16"/>
      <w:r>
        <w:rPr>
          <w:rFonts w:ascii="Arial" w:eastAsia="Arial" w:hAnsi="Arial" w:cs="Arial"/>
        </w:rPr>
        <w:t>4.  Specify in Section 1(G) that the ordering of contrast agents for the purpose of diagnostic imaging is subject to the limitations in Title 32, section 12522, subsection 2;</w:t>
      </w:r>
    </w:p>
    <w:p w:rsidR="00193A88" w:rsidP="00193A88">
      <w:pPr>
        <w:ind w:left="360" w:firstLine="360"/>
        <w:rPr>
          <w:rFonts w:ascii="Arial" w:eastAsia="Arial" w:hAnsi="Arial" w:cs="Arial"/>
        </w:rPr>
      </w:pPr>
      <w:bookmarkStart w:id="18" w:name="_PAR__17_d5101e55_0342_46ca_8805_bfd0994"/>
      <w:bookmarkEnd w:id="17"/>
      <w:r>
        <w:rPr>
          <w:rFonts w:ascii="Arial" w:eastAsia="Arial" w:hAnsi="Arial" w:cs="Arial"/>
        </w:rPr>
        <w:t>5.  Reinstate the language in Section 1(G) of the current rule relating to immunizing agents;</w:t>
      </w:r>
    </w:p>
    <w:p w:rsidR="00193A88" w:rsidP="00193A88">
      <w:pPr>
        <w:ind w:left="360" w:firstLine="360"/>
        <w:rPr>
          <w:rFonts w:ascii="Arial" w:eastAsia="Arial" w:hAnsi="Arial" w:cs="Arial"/>
        </w:rPr>
      </w:pPr>
      <w:bookmarkStart w:id="19" w:name="_PAR__18_f6d34963_eaf8_432f_a6fc_e5df839"/>
      <w:bookmarkEnd w:id="18"/>
      <w:r>
        <w:rPr>
          <w:rFonts w:ascii="Arial" w:eastAsia="Arial" w:hAnsi="Arial" w:cs="Arial"/>
        </w:rPr>
        <w:t>6.  Specify in Section 1(H) that medications for expedited partner therapy must be provided in accordance with the requirements and limitations in Title 22, section 1242;</w:t>
      </w:r>
    </w:p>
    <w:p w:rsidR="00193A88" w:rsidP="00193A88">
      <w:pPr>
        <w:ind w:left="360" w:firstLine="360"/>
        <w:rPr>
          <w:rFonts w:ascii="Arial" w:eastAsia="Arial" w:hAnsi="Arial" w:cs="Arial"/>
        </w:rPr>
      </w:pPr>
      <w:bookmarkStart w:id="20" w:name="_PAR__19_94eac298_87a8_4193_82c0_7d755f0"/>
      <w:bookmarkEnd w:id="19"/>
      <w:r>
        <w:rPr>
          <w:rFonts w:ascii="Arial" w:eastAsia="Arial" w:hAnsi="Arial" w:cs="Arial"/>
        </w:rPr>
        <w:t>7.  Remove all of Section 1(I) referring to all topical preparations, including topical antineoplastics;</w:t>
      </w:r>
    </w:p>
    <w:p w:rsidR="00193A88" w:rsidP="00193A88">
      <w:pPr>
        <w:ind w:left="360" w:firstLine="360"/>
        <w:rPr>
          <w:rFonts w:ascii="Arial" w:eastAsia="Arial" w:hAnsi="Arial" w:cs="Arial"/>
        </w:rPr>
      </w:pPr>
      <w:bookmarkStart w:id="21" w:name="_PAGE__2_785828de_3a68_408a_bbda_d0487ce"/>
      <w:bookmarkStart w:id="22" w:name="_PAR__2_3338e0dd_c55a_41ab_9cf5_d46ccf13"/>
      <w:bookmarkEnd w:id="1"/>
      <w:bookmarkEnd w:id="20"/>
      <w:r>
        <w:rPr>
          <w:rFonts w:ascii="Arial" w:eastAsia="Arial" w:hAnsi="Arial" w:cs="Arial"/>
        </w:rPr>
        <w:t>8.  Restore language in Section 2(C) of the current rule requiring naturopathic doctors to submit a reporting form related to the required collaborative relationship with a doctor to the board upon license renewal;</w:t>
      </w:r>
    </w:p>
    <w:p w:rsidR="00193A88" w:rsidP="00193A88">
      <w:pPr>
        <w:ind w:left="360" w:firstLine="360"/>
        <w:rPr>
          <w:rFonts w:ascii="Arial" w:eastAsia="Arial" w:hAnsi="Arial" w:cs="Arial"/>
        </w:rPr>
      </w:pPr>
      <w:bookmarkStart w:id="23" w:name="_PAR__3_71428e4e_01e2_4c89_85be_c6796c92"/>
      <w:bookmarkEnd w:id="22"/>
      <w:r>
        <w:rPr>
          <w:rFonts w:ascii="Arial" w:eastAsia="Arial" w:hAnsi="Arial" w:cs="Arial"/>
        </w:rPr>
        <w:t>9.  Specify that the exception in Section 3(C) that authorizes the formulary to include lithium is limited to lithium orotate;</w:t>
      </w:r>
    </w:p>
    <w:p w:rsidR="00193A88" w:rsidP="00193A88">
      <w:pPr>
        <w:ind w:left="360" w:firstLine="360"/>
        <w:rPr>
          <w:rFonts w:ascii="Arial" w:eastAsia="Arial" w:hAnsi="Arial" w:cs="Arial"/>
        </w:rPr>
      </w:pPr>
      <w:bookmarkStart w:id="24" w:name="_PAR__4_f929faa1_046f_418b_83c6_5e06d591"/>
      <w:bookmarkEnd w:id="23"/>
      <w:r>
        <w:rPr>
          <w:rFonts w:ascii="Arial" w:eastAsia="Arial" w:hAnsi="Arial" w:cs="Arial"/>
        </w:rPr>
        <w:t>10.  Remove the exception in Section 3(C) that authorizes the formulary to include topical antineoplastics and certain subcategories in oral and topical form; and</w:t>
      </w:r>
    </w:p>
    <w:p w:rsidR="00193A88" w:rsidP="00193A88">
      <w:pPr>
        <w:ind w:left="360" w:firstLine="360"/>
        <w:rPr>
          <w:rFonts w:ascii="Arial" w:eastAsia="Arial" w:hAnsi="Arial" w:cs="Arial"/>
        </w:rPr>
      </w:pPr>
      <w:bookmarkStart w:id="25" w:name="_PAR__5_a49d0834_34a6_42e4_b133_75cbbb77"/>
      <w:bookmarkEnd w:id="24"/>
      <w:r>
        <w:rPr>
          <w:rFonts w:ascii="Arial" w:eastAsia="Arial" w:hAnsi="Arial" w:cs="Arial"/>
        </w:rPr>
        <w:t>11.  Remove all of Section 4 relating to requirements for intravenous therapies.'</w:t>
      </w:r>
    </w:p>
    <w:p w:rsidR="00193A88" w:rsidP="00193A88">
      <w:pPr>
        <w:ind w:left="360" w:firstLine="360"/>
        <w:rPr>
          <w:rFonts w:ascii="Arial" w:eastAsia="Arial" w:hAnsi="Arial" w:cs="Arial"/>
        </w:rPr>
      </w:pPr>
      <w:bookmarkStart w:id="26" w:name="_INSTRUCTION__3ecbbf0f_793e_4099_bf6b_63"/>
      <w:bookmarkStart w:id="27" w:name="_PAR__6_3bc8d019_005c_4ae2_8c76_d6204799"/>
      <w:bookmarkEnd w:id="11"/>
      <w:bookmarkEnd w:id="25"/>
      <w:r>
        <w:rPr>
          <w:rFonts w:ascii="Arial" w:eastAsia="Arial" w:hAnsi="Arial" w:cs="Arial"/>
        </w:rPr>
        <w:t>Amend the resolve by relettering or renumbering any nonconsecutive Part letter or section number to read consecutively.</w:t>
      </w:r>
    </w:p>
    <w:p w:rsidR="00193A88" w:rsidP="00193A88">
      <w:pPr>
        <w:keepNext/>
        <w:spacing w:before="240"/>
        <w:ind w:left="360"/>
        <w:jc w:val="center"/>
        <w:rPr>
          <w:rFonts w:ascii="Arial" w:eastAsia="Arial" w:hAnsi="Arial" w:cs="Arial"/>
        </w:rPr>
      </w:pPr>
      <w:bookmarkStart w:id="28" w:name="_SUMMARY__88babfb7_f354_4d22_897e_e4d6ac"/>
      <w:bookmarkStart w:id="29" w:name="_PAR__7_9afd025f_0af8_4097_a262_8f70ffa9"/>
      <w:bookmarkEnd w:id="26"/>
      <w:bookmarkEnd w:id="27"/>
      <w:r>
        <w:rPr>
          <w:rFonts w:ascii="Arial" w:eastAsia="Arial" w:hAnsi="Arial" w:cs="Arial"/>
          <w:b/>
          <w:sz w:val="24"/>
        </w:rPr>
        <w:t>SUMMARY</w:t>
      </w:r>
    </w:p>
    <w:p w:rsidR="00000000" w:rsidP="00193A88">
      <w:pPr>
        <w:ind w:left="360" w:firstLine="360"/>
        <w:rPr>
          <w:rFonts w:ascii="Arial" w:eastAsia="Arial" w:hAnsi="Arial" w:cs="Arial"/>
        </w:rPr>
      </w:pPr>
      <w:bookmarkStart w:id="30" w:name="_PAR__8_e4a32d0e_aa01_4759_9e86_071f634d"/>
      <w:bookmarkEnd w:id="29"/>
      <w:r w:rsidRPr="00DE4F9E">
        <w:rPr>
          <w:rFonts w:ascii="Arial" w:eastAsia="Arial" w:hAnsi="Arial" w:cs="Arial"/>
        </w:rPr>
        <w:t>This amendment, which is the minority report of the committee, authorizes final adoption of the portions of Chapter 6: Standards Relating to Prescriptive Authorities and Collaborative Relationship for Naturopathic Doctors, a major substantive rule of the Department of Professional and Financial Regulation only if the rule is amended to make specified changes.</w:t>
      </w:r>
      <w:bookmarkEnd w:id="21"/>
      <w:bookmarkEnd w:id="28"/>
      <w:bookmarkEnd w:id="30"/>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LR3089, item 3 - 132nd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Resolve, Regarding Legislative Review of Portions of Chapter 6:  Standards Relating to Prescriptive Authorities and Collaborative Relationship for Naturopathic Doctors, a Late-filed Major Substantive Rule of the Department of Professional and Financial Regulation</w:t>
    </w:r>
  </w:p>
  <w:p>
    <w:pPr>
      <w:suppressLineNumbers/>
      <w:spacing w:before="0" w:after="0"/>
      <w:jc w:val="center"/>
      <w:rPr>
        <w:rFonts w:ascii="Arial" w:eastAsia="Arial" w:hAnsi="Arial" w:cs="Arial"/>
      </w:rPr>
    </w:pPr>
    <w:r>
      <w:rPr>
        <w:rFonts w:ascii="Arial" w:eastAsia="Arial" w:hAnsi="Arial" w:cs="Arial"/>
        <w:sz w:val="22"/>
      </w:rPr>
      <w:t>L.D. 2242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93A88"/>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DE4F9E"/>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