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Authorizing the Commissioner of Administrative and Financial Services to Convey by Sale the Interests of the State in 3 Properties Located in Biddeford, Sanford and York</w:t>
      </w:r>
    </w:p>
    <w:p w:rsidR="00C73BB7" w:rsidP="00C73BB7">
      <w:pPr>
        <w:spacing w:after="240"/>
        <w:ind w:left="360"/>
        <w:jc w:val="right"/>
        <w:rPr>
          <w:rFonts w:ascii="Arial" w:eastAsia="Arial" w:hAnsi="Arial" w:cs="Arial"/>
          <w:caps/>
        </w:rPr>
      </w:pPr>
      <w:bookmarkStart w:id="0" w:name="_AMEND_TITLE__a6c43c5b_0fab_4d96_ae23_eb"/>
      <w:bookmarkStart w:id="1" w:name="_PAGE__1_d197566e_86ce_49ca_b178_31b6e9d"/>
      <w:bookmarkStart w:id="2" w:name="_PAR__2_4e0ed893_8c4e_4d1a_8be9_23de654e"/>
      <w:r>
        <w:rPr>
          <w:rFonts w:ascii="Arial" w:eastAsia="Arial" w:hAnsi="Arial" w:cs="Arial"/>
          <w:caps/>
        </w:rPr>
        <w:t>L.D. 2277</w:t>
      </w:r>
    </w:p>
    <w:p w:rsidR="00C73BB7" w:rsidP="00C73BB7">
      <w:pPr>
        <w:tabs>
          <w:tab w:val="right" w:pos="8928"/>
        </w:tabs>
        <w:spacing w:after="360"/>
        <w:ind w:left="360"/>
        <w:rPr>
          <w:rFonts w:ascii="Arial" w:eastAsia="Arial" w:hAnsi="Arial" w:cs="Arial"/>
        </w:rPr>
      </w:pPr>
      <w:bookmarkStart w:id="3" w:name="_PAR__3_5892d610_1f03_4bce_93d6_99b4f31e"/>
      <w:bookmarkEnd w:id="2"/>
      <w:r>
        <w:rPr>
          <w:rFonts w:ascii="Arial" w:eastAsia="Arial" w:hAnsi="Arial" w:cs="Arial"/>
        </w:rPr>
        <w:t>Date:</w:t>
      </w:r>
      <w:r>
        <w:rPr>
          <w:rFonts w:ascii="Arial" w:eastAsia="Arial" w:hAnsi="Arial" w:cs="Arial"/>
        </w:rPr>
        <w:tab/>
        <w:t>(Filing No. H-         )</w:t>
      </w:r>
    </w:p>
    <w:p w:rsidR="00C73BB7" w:rsidP="00C73BB7">
      <w:pPr>
        <w:spacing w:before="600" w:after="300"/>
        <w:ind w:left="360"/>
        <w:jc w:val="center"/>
        <w:outlineLvl w:val="0"/>
        <w:rPr>
          <w:rFonts w:ascii="Arial" w:eastAsia="Arial" w:hAnsi="Arial" w:cs="Arial"/>
        </w:rPr>
      </w:pPr>
      <w:bookmarkStart w:id="4" w:name="_PAR__4_b0339c6f_8dcf_445d_afdd_adee17f2"/>
      <w:bookmarkEnd w:id="3"/>
      <w:r>
        <w:rPr>
          <w:rFonts w:ascii="Arial" w:eastAsia="Arial" w:hAnsi="Arial" w:cs="Arial"/>
          <w:b/>
          <w:caps/>
          <w:sz w:val="24"/>
          <w:szCs w:val="32"/>
        </w:rPr>
        <w:t xml:space="preserve">Housing </w:t>
      </w:r>
    </w:p>
    <w:p w:rsidR="00C73BB7" w:rsidP="00C73BB7">
      <w:pPr>
        <w:spacing w:before="60" w:after="60"/>
        <w:ind w:left="720"/>
        <w:rPr>
          <w:rFonts w:ascii="Arial" w:eastAsia="Arial" w:hAnsi="Arial" w:cs="Arial"/>
        </w:rPr>
      </w:pPr>
      <w:bookmarkStart w:id="5" w:name="_PAR__5_e84fd3c0_41d2_45bf_892f_10da1386"/>
      <w:bookmarkEnd w:id="4"/>
      <w:r>
        <w:rPr>
          <w:rFonts w:ascii="Arial" w:eastAsia="Arial" w:hAnsi="Arial" w:cs="Arial"/>
        </w:rPr>
        <w:t>Reproduced and distributed under the direction of the Clerk of the House.</w:t>
      </w:r>
    </w:p>
    <w:p w:rsidR="00C73BB7" w:rsidP="00C73BB7">
      <w:pPr>
        <w:spacing w:before="160" w:after="0"/>
        <w:ind w:left="360"/>
        <w:jc w:val="center"/>
        <w:outlineLvl w:val="0"/>
        <w:rPr>
          <w:rFonts w:ascii="Arial" w:eastAsia="Arial" w:hAnsi="Arial" w:cs="Arial"/>
          <w:b/>
          <w:caps/>
          <w:sz w:val="24"/>
          <w:szCs w:val="32"/>
        </w:rPr>
      </w:pPr>
      <w:bookmarkStart w:id="6" w:name="_PAR__6_f2eafa93_3f19_4258_ad5b_fa7102ec"/>
      <w:bookmarkEnd w:id="5"/>
      <w:r>
        <w:rPr>
          <w:rFonts w:ascii="Arial" w:eastAsia="Arial" w:hAnsi="Arial" w:cs="Arial"/>
          <w:b/>
          <w:caps/>
          <w:sz w:val="24"/>
          <w:szCs w:val="32"/>
        </w:rPr>
        <w:t>STATE OF MAINE</w:t>
      </w:r>
    </w:p>
    <w:p w:rsidR="00C73BB7" w:rsidP="00C73BB7">
      <w:pPr>
        <w:spacing w:after="0"/>
        <w:ind w:left="360"/>
        <w:jc w:val="center"/>
        <w:outlineLvl w:val="0"/>
        <w:rPr>
          <w:rFonts w:ascii="Arial" w:eastAsia="Arial" w:hAnsi="Arial" w:cs="Arial"/>
          <w:b/>
          <w:caps/>
          <w:sz w:val="24"/>
          <w:szCs w:val="32"/>
        </w:rPr>
      </w:pPr>
      <w:bookmarkStart w:id="7" w:name="_PAR__7_ceda9eeb_5c51_4cda_85db_3ad0e8d1"/>
      <w:bookmarkEnd w:id="6"/>
      <w:r>
        <w:rPr>
          <w:rFonts w:ascii="Arial" w:eastAsia="Arial" w:hAnsi="Arial" w:cs="Arial"/>
          <w:b/>
          <w:caps/>
          <w:sz w:val="24"/>
          <w:szCs w:val="32"/>
        </w:rPr>
        <w:t>HOUSE OF REPRESENTATIVES</w:t>
      </w:r>
    </w:p>
    <w:p w:rsidR="00C73BB7" w:rsidP="00C73BB7">
      <w:pPr>
        <w:spacing w:after="0"/>
        <w:ind w:left="360"/>
        <w:jc w:val="center"/>
        <w:outlineLvl w:val="0"/>
        <w:rPr>
          <w:rFonts w:ascii="Arial" w:eastAsia="Arial" w:hAnsi="Arial" w:cs="Arial"/>
          <w:b/>
          <w:caps/>
          <w:sz w:val="24"/>
          <w:szCs w:val="32"/>
        </w:rPr>
      </w:pPr>
      <w:bookmarkStart w:id="8" w:name="_PAR__8_4973c068_1147_4703_adde_65912fed"/>
      <w:bookmarkEnd w:id="7"/>
      <w:r>
        <w:rPr>
          <w:rFonts w:ascii="Arial" w:eastAsia="Arial" w:hAnsi="Arial" w:cs="Arial"/>
          <w:b/>
          <w:caps/>
          <w:sz w:val="24"/>
          <w:szCs w:val="32"/>
        </w:rPr>
        <w:t>131st Legislature</w:t>
      </w:r>
    </w:p>
    <w:p w:rsidR="00C73BB7" w:rsidP="00C73BB7">
      <w:pPr>
        <w:spacing w:after="0"/>
        <w:ind w:left="360"/>
        <w:jc w:val="center"/>
        <w:outlineLvl w:val="0"/>
        <w:rPr>
          <w:rFonts w:ascii="Arial" w:eastAsia="Arial" w:hAnsi="Arial" w:cs="Arial"/>
          <w:b/>
          <w:caps/>
          <w:sz w:val="24"/>
          <w:szCs w:val="32"/>
        </w:rPr>
      </w:pPr>
      <w:bookmarkStart w:id="9" w:name="_PAR__9_6abe9ba7_8887_4226_8369_19484dfe"/>
      <w:bookmarkEnd w:id="8"/>
      <w:r>
        <w:rPr>
          <w:rFonts w:ascii="Arial" w:eastAsia="Arial" w:hAnsi="Arial" w:cs="Arial"/>
          <w:b/>
          <w:caps/>
          <w:sz w:val="24"/>
          <w:szCs w:val="32"/>
        </w:rPr>
        <w:t>Second Regular Session</w:t>
      </w:r>
    </w:p>
    <w:p w:rsidR="00C73BB7" w:rsidP="00C73BB7">
      <w:pPr>
        <w:spacing w:before="400" w:after="200"/>
        <w:ind w:left="360" w:firstLine="360"/>
        <w:rPr>
          <w:rFonts w:ascii="Arial" w:eastAsia="Arial" w:hAnsi="Arial" w:cs="Arial"/>
        </w:rPr>
      </w:pPr>
      <w:bookmarkStart w:id="10" w:name="_PAR__10_a0b21e20_b559_491f_bb73_98a7d95"/>
      <w:bookmarkEnd w:id="9"/>
      <w:r>
        <w:rPr>
          <w:rFonts w:ascii="Arial" w:eastAsia="Arial" w:hAnsi="Arial" w:cs="Arial"/>
          <w:szCs w:val="22"/>
        </w:rPr>
        <w:t>COMMITTEE AMENDMENT “      ” to H.P. 1464, L.D. 2277, “Resolve, Authorizing the Commissioner of Administrative and Financial Services to Convey by Sale the Interests of the State in 3 Properties Located in Biddeford, Sanford and York”</w:t>
      </w:r>
    </w:p>
    <w:p w:rsidR="00C73BB7" w:rsidP="00C73BB7">
      <w:pPr>
        <w:ind w:left="360" w:firstLine="360"/>
        <w:rPr>
          <w:rFonts w:ascii="Arial" w:eastAsia="Arial" w:hAnsi="Arial" w:cs="Arial"/>
        </w:rPr>
      </w:pPr>
      <w:bookmarkStart w:id="11" w:name="_INSTRUCTION__329e1e42_b801_4861_92b2_c3"/>
      <w:bookmarkStart w:id="12" w:name="_PAR__11_6c52ecb7_20b6_4d0f_92b6_ce84a2f"/>
      <w:bookmarkEnd w:id="0"/>
      <w:bookmarkEnd w:id="10"/>
      <w:r>
        <w:rPr>
          <w:rFonts w:ascii="Arial" w:eastAsia="Arial" w:hAnsi="Arial" w:cs="Arial"/>
        </w:rPr>
        <w:t>Amend the resolve in section 7 in the last line (page 2, line 22 in L.D.) by striking out the following: "10" and inserting the following: '45'</w:t>
      </w:r>
    </w:p>
    <w:p w:rsidR="00C73BB7" w:rsidP="00C73BB7">
      <w:pPr>
        <w:ind w:left="360" w:firstLine="360"/>
        <w:rPr>
          <w:rFonts w:ascii="Arial" w:eastAsia="Arial" w:hAnsi="Arial" w:cs="Arial"/>
        </w:rPr>
      </w:pPr>
      <w:bookmarkStart w:id="13" w:name="_INSTRUCTION__94b9a589_5d29_4073_9ceb_2e"/>
      <w:bookmarkStart w:id="14" w:name="_PAR__12_6d647a49_a8f0_4289_9b01_5c5f4ed"/>
      <w:bookmarkEnd w:id="11"/>
      <w:bookmarkEnd w:id="12"/>
      <w:r>
        <w:rPr>
          <w:rFonts w:ascii="Arial" w:eastAsia="Arial" w:hAnsi="Arial" w:cs="Arial"/>
        </w:rPr>
        <w:t>Amend the resolve by relettering or renumbering any nonconsecutive Part letter or section number to read consecutively.</w:t>
      </w:r>
    </w:p>
    <w:p w:rsidR="00C73BB7" w:rsidP="00C73BB7">
      <w:pPr>
        <w:keepNext/>
        <w:spacing w:before="240"/>
        <w:ind w:left="360"/>
        <w:jc w:val="center"/>
        <w:rPr>
          <w:rFonts w:ascii="Arial" w:eastAsia="Arial" w:hAnsi="Arial" w:cs="Arial"/>
        </w:rPr>
      </w:pPr>
      <w:bookmarkStart w:id="15" w:name="_SUMMARY__fb4116c8_004b_4640_b41a_76362f"/>
      <w:bookmarkStart w:id="16" w:name="_PAR__13_557d0ea5_2658_4a4c_ad87_9466b0f"/>
      <w:bookmarkEnd w:id="13"/>
      <w:bookmarkEnd w:id="14"/>
      <w:r>
        <w:rPr>
          <w:rFonts w:ascii="Arial" w:eastAsia="Arial" w:hAnsi="Arial" w:cs="Arial"/>
          <w:b/>
          <w:sz w:val="24"/>
        </w:rPr>
        <w:t>SUMMARY</w:t>
      </w:r>
    </w:p>
    <w:p w:rsidR="00C73BB7" w:rsidP="00C73BB7">
      <w:pPr>
        <w:keepNext/>
        <w:ind w:left="360" w:firstLine="360"/>
        <w:rPr>
          <w:rFonts w:ascii="Arial" w:eastAsia="Arial" w:hAnsi="Arial" w:cs="Arial"/>
        </w:rPr>
      </w:pPr>
      <w:bookmarkStart w:id="17" w:name="_PAR__14_b6217c78_6fd2_42b0_938e_2fec395"/>
      <w:bookmarkEnd w:id="16"/>
      <w:r w:rsidRPr="001035C8">
        <w:rPr>
          <w:rFonts w:ascii="Arial" w:eastAsia="Arial" w:hAnsi="Arial" w:cs="Arial"/>
        </w:rPr>
        <w:t>This amendment</w:t>
      </w:r>
      <w:r>
        <w:rPr>
          <w:rFonts w:ascii="Arial" w:eastAsia="Arial" w:hAnsi="Arial" w:cs="Arial"/>
        </w:rPr>
        <w:t>, which</w:t>
      </w:r>
      <w:r w:rsidRPr="001035C8">
        <w:rPr>
          <w:rFonts w:ascii="Arial" w:eastAsia="Arial" w:hAnsi="Arial" w:cs="Arial"/>
        </w:rPr>
        <w:t xml:space="preserve"> is the minority report of the committee</w:t>
      </w:r>
      <w:r>
        <w:rPr>
          <w:rFonts w:ascii="Arial" w:eastAsia="Arial" w:hAnsi="Arial" w:cs="Arial"/>
        </w:rPr>
        <w:t>,</w:t>
      </w:r>
      <w:r w:rsidRPr="001035C8">
        <w:rPr>
          <w:rFonts w:ascii="Arial" w:eastAsia="Arial" w:hAnsi="Arial" w:cs="Arial"/>
        </w:rPr>
        <w:t xml:space="preserve"> increases the minimum number of years that the properties transferred by the Department of Administrative and Financial Services must be used as housing from 10 to 45 when the properties are transferred to the Maine State Housing Authority or a local public housing authority.</w:t>
      </w:r>
    </w:p>
    <w:p w:rsidR="00C73BB7" w:rsidP="00C73BB7">
      <w:pPr>
        <w:keepNext/>
        <w:spacing w:before="60" w:after="60"/>
        <w:ind w:left="360"/>
        <w:jc w:val="center"/>
        <w:rPr>
          <w:rFonts w:ascii="Arial" w:eastAsia="Arial" w:hAnsi="Arial" w:cs="Arial"/>
        </w:rPr>
      </w:pPr>
      <w:bookmarkStart w:id="18" w:name="_FISCAL_NOTE_REQUIRED__27d2b219_04c2_4ef"/>
      <w:bookmarkStart w:id="19" w:name="_PAR__15_9e4cd246_21e4_4379_b5de_1af69fc"/>
      <w:bookmarkEnd w:id="17"/>
      <w:r>
        <w:rPr>
          <w:rFonts w:ascii="Arial" w:eastAsia="Arial" w:hAnsi="Arial" w:cs="Arial"/>
          <w:b/>
        </w:rPr>
        <w:t>FISCAL NOTE REQUIRED</w:t>
      </w:r>
    </w:p>
    <w:p w:rsidR="00000000" w:rsidRPr="00C73BB7" w:rsidP="00C73BB7">
      <w:pPr>
        <w:spacing w:before="60" w:after="60"/>
        <w:ind w:left="360"/>
        <w:jc w:val="center"/>
        <w:rPr>
          <w:rFonts w:ascii="Arial" w:eastAsia="Arial" w:hAnsi="Arial" w:cs="Arial"/>
          <w:b/>
        </w:rPr>
      </w:pPr>
      <w:bookmarkStart w:id="20" w:name="_PAR__16_655aabc2_b838_4260_8013_200f25b"/>
      <w:bookmarkEnd w:id="19"/>
      <w:r>
        <w:rPr>
          <w:rFonts w:ascii="Arial" w:eastAsia="Arial" w:hAnsi="Arial" w:cs="Arial"/>
          <w:b/>
        </w:rPr>
        <w:t>(See attached)</w:t>
      </w:r>
      <w:bookmarkEnd w:id="1"/>
      <w:bookmarkEnd w:id="15"/>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LR3167,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Authorizing the Commissioner of Administrative and Financial Services to Convey by Sale the Interests of the State in 3 Properties Located in Biddeford, Sanford and York</w:t>
    </w:r>
  </w:p>
  <w:p>
    <w:pPr>
      <w:suppressLineNumbers/>
      <w:spacing w:before="0" w:after="0"/>
      <w:jc w:val="center"/>
      <w:rPr>
        <w:rFonts w:ascii="Arial" w:eastAsia="Arial" w:hAnsi="Arial" w:cs="Arial"/>
      </w:rPr>
    </w:pPr>
    <w:r>
      <w:rPr>
        <w:rFonts w:ascii="Arial" w:eastAsia="Arial" w:hAnsi="Arial" w:cs="Arial"/>
        <w:sz w:val="22"/>
      </w:rPr>
      <w:t>L.D. 2277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35C8"/>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3BB7"/>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