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115: The Credentialing of Education Personnel, a Major Substantive Rule of the Department of Education, State Board of Education</w:t>
      </w:r>
    </w:p>
    <w:p w:rsidR="00217BA1" w:rsidP="00217BA1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9695fa4_b0ce_4205_a2d0_a3"/>
      <w:bookmarkStart w:id="1" w:name="_PAGE__1_58990bf4_5db4_4bd3_8cf5_e75b013"/>
      <w:bookmarkStart w:id="2" w:name="_PAR__2_8c933c2e_8746_4c88_9122_2d288efb"/>
      <w:r>
        <w:rPr>
          <w:rFonts w:ascii="Arial" w:eastAsia="Arial" w:hAnsi="Arial" w:cs="Arial"/>
          <w:caps/>
        </w:rPr>
        <w:t>L.D. 2175</w:t>
      </w:r>
    </w:p>
    <w:p w:rsidR="00217BA1" w:rsidP="00217BA1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43cbe79_07c2_4cc4_a9d4_cd63503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17BA1" w:rsidP="00217BA1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7ecdff9_ab5c_4236_88f5_84fcf11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217BA1" w:rsidP="00217BA1">
      <w:pPr>
        <w:spacing w:before="60" w:after="60"/>
        <w:ind w:left="720"/>
        <w:rPr>
          <w:rFonts w:ascii="Arial" w:eastAsia="Arial" w:hAnsi="Arial" w:cs="Arial"/>
        </w:rPr>
      </w:pPr>
      <w:bookmarkStart w:id="5" w:name="_PAR__5_5a7196f4_5d66_4cc5_bf12_04af4228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17BA1" w:rsidP="00217BA1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412a080_a435_4e32_8cd1_853a62b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17BA1" w:rsidP="00217B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221c89a_d2e6_4863_983f_4f90167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17BA1" w:rsidP="00217B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24dd37c_483d_4409_9578_373d71f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17BA1" w:rsidP="00217BA1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d502e2d_dc37_4fd9_9e5f_b411e88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17BA1" w:rsidP="00217BA1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bf0861c_b215_4140_b6cf_5ae7056"/>
      <w:bookmarkEnd w:id="9"/>
      <w:r>
        <w:rPr>
          <w:rFonts w:ascii="Arial" w:eastAsia="Arial" w:hAnsi="Arial" w:cs="Arial"/>
          <w:szCs w:val="22"/>
        </w:rPr>
        <w:t>COMMITTEE AMENDMENT “      ” to H.P. 1463, L.D. 2175, “Resolve, Regarding Legislative Review of Portions of Chapter 115: The Credentialing of Education Personnel, a Major Substantive Rule of the Department of Education, State Board of Education”</w:t>
      </w:r>
    </w:p>
    <w:p w:rsidR="00217BA1" w:rsidP="00217BA1">
      <w:pPr>
        <w:ind w:left="360" w:firstLine="360"/>
        <w:rPr>
          <w:rFonts w:ascii="Arial" w:eastAsia="Arial" w:hAnsi="Arial" w:cs="Arial"/>
        </w:rPr>
      </w:pPr>
      <w:bookmarkStart w:id="11" w:name="_INSTRUCTION__f3e4fb64_cb65_4929_b195_28"/>
      <w:bookmarkStart w:id="12" w:name="_PAR__11_a7a311fb_b2a2_49f8_9400_f3371c8"/>
      <w:bookmarkEnd w:id="0"/>
      <w:bookmarkEnd w:id="10"/>
      <w:r>
        <w:rPr>
          <w:rFonts w:ascii="Arial" w:eastAsia="Arial" w:hAnsi="Arial" w:cs="Arial"/>
        </w:rPr>
        <w:t>Amend the resolve in section 1 in the first line (page 1, line 14 in L.D.) by striking out the following: "</w:t>
      </w:r>
      <w:r w:rsidRPr="00306BA1">
        <w:rPr>
          <w:rFonts w:ascii="Arial" w:eastAsia="Arial" w:hAnsi="Arial" w:cs="Arial"/>
          <w:b/>
          <w:sz w:val="24"/>
        </w:rPr>
        <w:t xml:space="preserve">notwithstanding </w:t>
      </w:r>
      <w:r>
        <w:rPr>
          <w:rFonts w:ascii="Arial" w:eastAsia="Arial" w:hAnsi="Arial" w:cs="Arial"/>
          <w:b/>
          <w:sz w:val="24"/>
        </w:rPr>
        <w:t>truncated</w:t>
      </w:r>
      <w:r w:rsidRPr="00306BA1">
        <w:rPr>
          <w:rFonts w:ascii="Arial" w:eastAsia="Arial" w:hAnsi="Arial" w:cs="Arial"/>
          <w:b/>
          <w:sz w:val="24"/>
        </w:rPr>
        <w:t xml:space="preserve"> comment period</w:t>
      </w:r>
      <w:r>
        <w:rPr>
          <w:rFonts w:ascii="Arial" w:eastAsia="Arial" w:hAnsi="Arial" w:cs="Arial"/>
        </w:rPr>
        <w:t>"</w:t>
      </w:r>
    </w:p>
    <w:p w:rsidR="00217BA1" w:rsidP="00217BA1">
      <w:pPr>
        <w:ind w:left="360" w:firstLine="360"/>
        <w:rPr>
          <w:rFonts w:ascii="Arial" w:eastAsia="Arial" w:hAnsi="Arial" w:cs="Arial"/>
        </w:rPr>
      </w:pPr>
      <w:bookmarkStart w:id="13" w:name="_INSTRUCTION__b72406ee_2b3e_47c9_bac8_65"/>
      <w:bookmarkStart w:id="14" w:name="_PAR__12_1d7b74a6_c235_445d_aa94_629d201"/>
      <w:bookmarkEnd w:id="11"/>
      <w:bookmarkEnd w:id="12"/>
      <w:r>
        <w:rPr>
          <w:rFonts w:ascii="Arial" w:eastAsia="Arial" w:hAnsi="Arial" w:cs="Arial"/>
        </w:rPr>
        <w:t xml:space="preserve">Amend the resolve in section 1 in the </w:t>
      </w:r>
      <w:r w:rsidRPr="00D71DC4">
        <w:rPr>
          <w:rFonts w:ascii="Arial" w:eastAsia="Arial" w:hAnsi="Arial" w:cs="Arial"/>
        </w:rPr>
        <w:t>5th</w:t>
      </w:r>
      <w:r>
        <w:rPr>
          <w:rFonts w:ascii="Arial" w:eastAsia="Arial" w:hAnsi="Arial" w:cs="Arial"/>
        </w:rPr>
        <w:t xml:space="preserve"> line (page 1, line 18 in L.D.) by inserting after the following: "</w:t>
      </w:r>
      <w:r w:rsidRPr="00306BA1">
        <w:rPr>
          <w:rFonts w:ascii="Arial" w:eastAsia="Arial" w:hAnsi="Arial" w:cs="Arial"/>
        </w:rPr>
        <w:t>is</w:t>
      </w:r>
      <w:r>
        <w:rPr>
          <w:rFonts w:ascii="Arial" w:eastAsia="Arial" w:hAnsi="Arial" w:cs="Arial"/>
        </w:rPr>
        <w:t>" the following: 'not'</w:t>
      </w:r>
    </w:p>
    <w:p w:rsidR="00217BA1" w:rsidP="00217BA1">
      <w:pPr>
        <w:ind w:left="360" w:firstLine="360"/>
        <w:rPr>
          <w:rFonts w:ascii="Arial" w:eastAsia="Arial" w:hAnsi="Arial" w:cs="Arial"/>
        </w:rPr>
      </w:pPr>
      <w:bookmarkStart w:id="15" w:name="_INSTRUCTION__623c5b12_13fb_4cd3_8839_5f"/>
      <w:bookmarkStart w:id="16" w:name="_PAR__13_a10f2616_8af5_47f8_9235_03f68f9"/>
      <w:bookmarkEnd w:id="13"/>
      <w:bookmarkEnd w:id="14"/>
      <w:r>
        <w:rPr>
          <w:rFonts w:ascii="Arial" w:eastAsia="Arial" w:hAnsi="Arial" w:cs="Arial"/>
        </w:rPr>
        <w:t>Amend the resolve in section 1 in the last 3 lines (page 1, lines 18 to 20 in L.D.) by striking out the following: ", notwithstanding that the filing period for written statements and arguments concerning the proposed rule closed 9 days after the public hearing"</w:t>
      </w:r>
    </w:p>
    <w:p w:rsidR="00217BA1" w:rsidP="00217BA1">
      <w:pPr>
        <w:ind w:left="360" w:firstLine="360"/>
        <w:rPr>
          <w:rFonts w:ascii="Arial" w:eastAsia="Arial" w:hAnsi="Arial" w:cs="Arial"/>
        </w:rPr>
      </w:pPr>
      <w:bookmarkStart w:id="17" w:name="_INSTRUCTION__c2733d2d_8cbc_4076_a917_75"/>
      <w:bookmarkStart w:id="18" w:name="_PAR__14_1aa4f920_d756_4e67_aab6_a50285a"/>
      <w:bookmarkEnd w:id="15"/>
      <w:bookmarkEnd w:id="16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217BA1" w:rsidP="00217BA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00044aed_8161_4e20_a2a8_3b9ea4"/>
      <w:bookmarkStart w:id="20" w:name="_PAR__15_4e7ea93b_c88f_444c_8ca4_afbf1fa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000000" w:rsidP="00217BA1">
      <w:pPr>
        <w:ind w:left="360" w:firstLine="360"/>
        <w:rPr>
          <w:rFonts w:ascii="Arial" w:eastAsia="Arial" w:hAnsi="Arial" w:cs="Arial"/>
        </w:rPr>
      </w:pPr>
      <w:bookmarkStart w:id="21" w:name="_PAR__16_f2fc4eeb_7aac_42b1_8613_2f0c144"/>
      <w:bookmarkEnd w:id="20"/>
      <w:r>
        <w:rPr>
          <w:rFonts w:ascii="Arial" w:eastAsia="Arial" w:hAnsi="Arial" w:cs="Arial"/>
        </w:rPr>
        <w:t>This amendment, which is the minority report of the committee, provides that final adoption of the rule is not authorized.</w:t>
      </w:r>
      <w:bookmarkEnd w:id="1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LR3000,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115: The Credentialing of Education Personnel,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7BA1"/>
    <w:rsid w:val="00257B1E"/>
    <w:rsid w:val="002A3C2A"/>
    <w:rsid w:val="002A3D55"/>
    <w:rsid w:val="002D357F"/>
    <w:rsid w:val="00306BA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1DC4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