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Regarding Energy, Utilities and Technology</w:t>
      </w:r>
    </w:p>
    <w:p w:rsidR="003C4DE7" w:rsidP="003C4DE7">
      <w:pPr>
        <w:spacing w:after="240"/>
        <w:ind w:left="360"/>
        <w:jc w:val="right"/>
        <w:rPr>
          <w:rFonts w:ascii="Arial" w:eastAsia="Arial" w:hAnsi="Arial" w:cs="Arial"/>
          <w:caps/>
        </w:rPr>
      </w:pPr>
      <w:bookmarkStart w:id="0" w:name="_AMEND_TITLE__32de20be_d026_426b_b77c_96"/>
      <w:bookmarkStart w:id="1" w:name="_PAGE__1_6a94beb6_4ddc_4141_9850_6c418b6"/>
      <w:bookmarkStart w:id="2" w:name="_PAR__2_ef0964e4_d866_45a4_81d5_25258971"/>
      <w:r>
        <w:rPr>
          <w:rFonts w:ascii="Arial" w:eastAsia="Arial" w:hAnsi="Arial" w:cs="Arial"/>
          <w:caps/>
        </w:rPr>
        <w:t>L.D. 307</w:t>
      </w:r>
    </w:p>
    <w:p w:rsidR="003C4DE7" w:rsidP="003C4DE7">
      <w:pPr>
        <w:tabs>
          <w:tab w:val="right" w:pos="8928"/>
        </w:tabs>
        <w:spacing w:after="360"/>
        <w:ind w:left="360"/>
        <w:rPr>
          <w:rFonts w:ascii="Arial" w:eastAsia="Arial" w:hAnsi="Arial" w:cs="Arial"/>
        </w:rPr>
      </w:pPr>
      <w:bookmarkStart w:id="3" w:name="_PAR__3_29752e9e_e38b_4e52_92c1_08646ef7"/>
      <w:bookmarkEnd w:id="2"/>
      <w:r>
        <w:rPr>
          <w:rFonts w:ascii="Arial" w:eastAsia="Arial" w:hAnsi="Arial" w:cs="Arial"/>
        </w:rPr>
        <w:t>Date:</w:t>
      </w:r>
      <w:r>
        <w:rPr>
          <w:rFonts w:ascii="Arial" w:eastAsia="Arial" w:hAnsi="Arial" w:cs="Arial"/>
        </w:rPr>
        <w:tab/>
        <w:t>(Filing No. H-         )</w:t>
      </w:r>
    </w:p>
    <w:p w:rsidR="003C4DE7" w:rsidP="003C4DE7">
      <w:pPr>
        <w:spacing w:before="600" w:after="300"/>
        <w:ind w:left="360"/>
        <w:jc w:val="center"/>
        <w:outlineLvl w:val="0"/>
        <w:rPr>
          <w:rFonts w:ascii="Arial" w:eastAsia="Arial" w:hAnsi="Arial" w:cs="Arial"/>
        </w:rPr>
      </w:pPr>
      <w:bookmarkStart w:id="4" w:name="_PAR__4_15ba1a9b_6658_4517_bd59_8f6f2256"/>
      <w:bookmarkEnd w:id="3"/>
      <w:r>
        <w:rPr>
          <w:rFonts w:ascii="Arial" w:eastAsia="Arial" w:hAnsi="Arial" w:cs="Arial"/>
          <w:b/>
          <w:caps/>
          <w:sz w:val="24"/>
          <w:szCs w:val="32"/>
        </w:rPr>
        <w:t xml:space="preserve">Energy, Utilities and Technology </w:t>
      </w:r>
    </w:p>
    <w:p w:rsidR="003C4DE7" w:rsidP="003C4DE7">
      <w:pPr>
        <w:spacing w:before="60" w:after="60"/>
        <w:ind w:left="720"/>
        <w:rPr>
          <w:rFonts w:ascii="Arial" w:eastAsia="Arial" w:hAnsi="Arial" w:cs="Arial"/>
        </w:rPr>
      </w:pPr>
      <w:bookmarkStart w:id="5" w:name="_PAR__5_ef29e89a_cc66_4ace_8fba_088d3637"/>
      <w:bookmarkEnd w:id="4"/>
      <w:r>
        <w:rPr>
          <w:rFonts w:ascii="Arial" w:eastAsia="Arial" w:hAnsi="Arial" w:cs="Arial"/>
        </w:rPr>
        <w:t>Reproduced and distributed under the direction of the Clerk of the House.</w:t>
      </w:r>
    </w:p>
    <w:p w:rsidR="003C4DE7" w:rsidP="003C4DE7">
      <w:pPr>
        <w:spacing w:before="160" w:after="0"/>
        <w:ind w:left="360"/>
        <w:jc w:val="center"/>
        <w:outlineLvl w:val="0"/>
        <w:rPr>
          <w:rFonts w:ascii="Arial" w:eastAsia="Arial" w:hAnsi="Arial" w:cs="Arial"/>
          <w:b/>
          <w:caps/>
          <w:sz w:val="24"/>
          <w:szCs w:val="32"/>
        </w:rPr>
      </w:pPr>
      <w:bookmarkStart w:id="6" w:name="_PAR__6_7a5e1538_923e_4955_bdc4_e7a6cf94"/>
      <w:bookmarkEnd w:id="5"/>
      <w:r>
        <w:rPr>
          <w:rFonts w:ascii="Arial" w:eastAsia="Arial" w:hAnsi="Arial" w:cs="Arial"/>
          <w:b/>
          <w:caps/>
          <w:sz w:val="24"/>
          <w:szCs w:val="32"/>
        </w:rPr>
        <w:t>STATE OF MAINE</w:t>
      </w:r>
    </w:p>
    <w:p w:rsidR="003C4DE7" w:rsidP="003C4DE7">
      <w:pPr>
        <w:spacing w:after="0"/>
        <w:ind w:left="360"/>
        <w:jc w:val="center"/>
        <w:outlineLvl w:val="0"/>
        <w:rPr>
          <w:rFonts w:ascii="Arial" w:eastAsia="Arial" w:hAnsi="Arial" w:cs="Arial"/>
          <w:b/>
          <w:caps/>
          <w:sz w:val="24"/>
          <w:szCs w:val="32"/>
        </w:rPr>
      </w:pPr>
      <w:bookmarkStart w:id="7" w:name="_PAR__7_a8ac377b_273a_44ca_96ca_1d4cd23e"/>
      <w:bookmarkEnd w:id="6"/>
      <w:r>
        <w:rPr>
          <w:rFonts w:ascii="Arial" w:eastAsia="Arial" w:hAnsi="Arial" w:cs="Arial"/>
          <w:b/>
          <w:caps/>
          <w:sz w:val="24"/>
          <w:szCs w:val="32"/>
        </w:rPr>
        <w:t>HOUSE OF REPRESENTATIVES</w:t>
      </w:r>
    </w:p>
    <w:p w:rsidR="003C4DE7" w:rsidP="003C4DE7">
      <w:pPr>
        <w:spacing w:after="0"/>
        <w:ind w:left="360"/>
        <w:jc w:val="center"/>
        <w:outlineLvl w:val="0"/>
        <w:rPr>
          <w:rFonts w:ascii="Arial" w:eastAsia="Arial" w:hAnsi="Arial" w:cs="Arial"/>
          <w:b/>
          <w:caps/>
          <w:sz w:val="24"/>
          <w:szCs w:val="32"/>
        </w:rPr>
      </w:pPr>
      <w:bookmarkStart w:id="8" w:name="_PAR__8_03e47b5d_837d_4f64_862c_aeb663e9"/>
      <w:bookmarkEnd w:id="7"/>
      <w:r>
        <w:rPr>
          <w:rFonts w:ascii="Arial" w:eastAsia="Arial" w:hAnsi="Arial" w:cs="Arial"/>
          <w:b/>
          <w:caps/>
          <w:sz w:val="24"/>
          <w:szCs w:val="32"/>
        </w:rPr>
        <w:t>132nd Legislature</w:t>
      </w:r>
    </w:p>
    <w:p w:rsidR="003C4DE7" w:rsidP="003C4DE7">
      <w:pPr>
        <w:spacing w:after="0"/>
        <w:ind w:left="360"/>
        <w:jc w:val="center"/>
        <w:outlineLvl w:val="0"/>
        <w:rPr>
          <w:rFonts w:ascii="Arial" w:eastAsia="Arial" w:hAnsi="Arial" w:cs="Arial"/>
          <w:b/>
          <w:caps/>
          <w:sz w:val="24"/>
          <w:szCs w:val="32"/>
        </w:rPr>
      </w:pPr>
      <w:bookmarkStart w:id="9" w:name="_PAR__9_765d0318_6da7_438d_83fe_ad36db41"/>
      <w:bookmarkEnd w:id="8"/>
      <w:r>
        <w:rPr>
          <w:rFonts w:ascii="Arial" w:eastAsia="Arial" w:hAnsi="Arial" w:cs="Arial"/>
          <w:b/>
          <w:caps/>
          <w:sz w:val="24"/>
          <w:szCs w:val="32"/>
        </w:rPr>
        <w:t>Second Regular Session</w:t>
      </w:r>
    </w:p>
    <w:p w:rsidR="003C4DE7" w:rsidP="003C4DE7">
      <w:pPr>
        <w:spacing w:before="400" w:after="200"/>
        <w:ind w:left="360" w:firstLine="360"/>
        <w:rPr>
          <w:rFonts w:ascii="Arial" w:eastAsia="Arial" w:hAnsi="Arial" w:cs="Arial"/>
        </w:rPr>
      </w:pPr>
      <w:bookmarkStart w:id="10" w:name="_PAR__10_8e798fb9_e7d6_4dea_b375_f510bcc"/>
      <w:bookmarkEnd w:id="9"/>
      <w:r>
        <w:rPr>
          <w:rFonts w:ascii="Arial" w:eastAsia="Arial" w:hAnsi="Arial" w:cs="Arial"/>
          <w:szCs w:val="22"/>
        </w:rPr>
        <w:t>COMMITTEE AMENDMENT “      ” to H.P. 207, L.D. 307, “An Act Regarding Energy, Utilities and Technology”</w:t>
      </w:r>
    </w:p>
    <w:p w:rsidR="003C4DE7" w:rsidP="003C4DE7">
      <w:pPr>
        <w:ind w:left="360" w:firstLine="360"/>
        <w:rPr>
          <w:rFonts w:ascii="Arial" w:eastAsia="Arial" w:hAnsi="Arial" w:cs="Arial"/>
        </w:rPr>
      </w:pPr>
      <w:bookmarkStart w:id="11" w:name="_INSTRUCTION__45007240_cfe0_419d_b982_f2"/>
      <w:bookmarkStart w:id="12" w:name="_PAR__11_125de82c_f5fb_4c35_9526_a2f8d81"/>
      <w:bookmarkEnd w:id="0"/>
      <w:bookmarkEnd w:id="10"/>
      <w:r>
        <w:rPr>
          <w:rFonts w:ascii="Arial" w:eastAsia="Arial" w:hAnsi="Arial" w:cs="Arial"/>
        </w:rPr>
        <w:t>Amend the bill by striking out the title and substituting the following:</w:t>
      </w:r>
    </w:p>
    <w:p w:rsidR="003C4DE7" w:rsidP="003C4DE7">
      <w:pPr>
        <w:ind w:left="360"/>
        <w:rPr>
          <w:rFonts w:ascii="Arial" w:eastAsia="Arial" w:hAnsi="Arial" w:cs="Arial"/>
        </w:rPr>
      </w:pPr>
      <w:bookmarkStart w:id="13" w:name="_PAR__12_07b938bf_3e3c_4456_8a4b_592c915"/>
      <w:bookmarkEnd w:id="12"/>
      <w:r>
        <w:rPr>
          <w:rFonts w:ascii="Arial" w:eastAsia="Arial" w:hAnsi="Arial" w:cs="Arial"/>
          <w:b/>
        </w:rPr>
        <w:t>'An Act to Establish the Maine Data Center Coordination Council and Place a Temporary Limitation on Certain Data Centers'</w:t>
      </w:r>
    </w:p>
    <w:p w:rsidR="003C4DE7" w:rsidP="003C4DE7">
      <w:pPr>
        <w:ind w:left="360" w:firstLine="360"/>
        <w:rPr>
          <w:rFonts w:ascii="Arial" w:eastAsia="Arial" w:hAnsi="Arial" w:cs="Arial"/>
        </w:rPr>
      </w:pPr>
      <w:bookmarkStart w:id="14" w:name="_INSTRUCTION__3824cb2d_5758_4593_a436_06"/>
      <w:bookmarkStart w:id="15" w:name="_PAR__13_2aba3769_d950_4889_b3ef_4ca04ba"/>
      <w:bookmarkEnd w:id="11"/>
      <w:bookmarkEnd w:id="13"/>
      <w:r>
        <w:rPr>
          <w:rFonts w:ascii="Arial" w:eastAsia="Arial" w:hAnsi="Arial" w:cs="Arial"/>
        </w:rPr>
        <w:t>Amend the bill by striking out everything after the enacting clause and inserting the following:</w:t>
      </w:r>
    </w:p>
    <w:p w:rsidR="003C4DE7" w:rsidP="003C4DE7">
      <w:pPr>
        <w:ind w:left="360" w:firstLine="360"/>
        <w:rPr>
          <w:rFonts w:ascii="Arial" w:eastAsia="Arial" w:hAnsi="Arial" w:cs="Arial"/>
        </w:rPr>
      </w:pPr>
      <w:bookmarkStart w:id="16" w:name="_PAR__14_859137da_a32c_4ab5_aad3_5cb2d6e"/>
      <w:bookmarkEnd w:id="15"/>
      <w:r>
        <w:rPr>
          <w:rFonts w:ascii="Arial" w:eastAsia="Arial" w:hAnsi="Arial" w:cs="Arial"/>
        </w:rPr>
        <w:t>'</w:t>
      </w:r>
      <w:r>
        <w:rPr>
          <w:rFonts w:ascii="Arial" w:eastAsia="Arial" w:hAnsi="Arial" w:cs="Arial"/>
          <w:b/>
          <w:sz w:val="24"/>
        </w:rPr>
        <w:t>Sec. 1.</w:t>
      </w:r>
      <w:r w:rsidRPr="006C2979">
        <w:rPr>
          <w:rFonts w:ascii="Arial" w:eastAsia="Arial" w:hAnsi="Arial" w:cs="Arial"/>
          <w:b/>
          <w:sz w:val="24"/>
        </w:rPr>
        <w:t xml:space="preserve">  Interim suspension on certain data center approvals</w:t>
      </w:r>
      <w:r>
        <w:rPr>
          <w:rFonts w:ascii="Arial" w:eastAsia="Arial" w:hAnsi="Arial" w:cs="Arial"/>
          <w:b/>
          <w:sz w:val="24"/>
        </w:rPr>
        <w:t>.</w:t>
      </w:r>
    </w:p>
    <w:p w:rsidR="003C4DE7" w:rsidP="003C4DE7">
      <w:pPr>
        <w:ind w:left="360" w:firstLine="360"/>
        <w:rPr>
          <w:rFonts w:ascii="Arial" w:eastAsia="Arial" w:hAnsi="Arial" w:cs="Arial"/>
        </w:rPr>
      </w:pPr>
      <w:bookmarkStart w:id="17" w:name="_PAR__15_4cf4d3e5_63e1_408b_974f_0d6ba0f"/>
      <w:bookmarkEnd w:id="16"/>
      <w:r w:rsidRPr="006C2979">
        <w:rPr>
          <w:rFonts w:ascii="Arial" w:eastAsia="Arial" w:hAnsi="Arial" w:cs="Arial"/>
          <w:b/>
        </w:rPr>
        <w:t>1.  Definitions.</w:t>
      </w:r>
      <w:r>
        <w:rPr>
          <w:rFonts w:ascii="Arial" w:eastAsia="Arial" w:hAnsi="Arial" w:cs="Arial"/>
        </w:rPr>
        <w:t xml:space="preserve">  For the purposes of this section, the following terms have the following meanings.</w:t>
      </w:r>
    </w:p>
    <w:p w:rsidR="003C4DE7" w:rsidP="003C4DE7">
      <w:pPr>
        <w:ind w:left="720"/>
        <w:rPr>
          <w:rFonts w:ascii="Arial" w:eastAsia="Arial" w:hAnsi="Arial" w:cs="Arial"/>
        </w:rPr>
      </w:pPr>
      <w:bookmarkStart w:id="18" w:name="_PAR__16_5201f3d0_e5c4_4844_8bf3_c16085f"/>
      <w:bookmarkEnd w:id="17"/>
      <w:r>
        <w:rPr>
          <w:rFonts w:ascii="Arial" w:eastAsia="Arial" w:hAnsi="Arial" w:cs="Arial"/>
        </w:rPr>
        <w:t>A.  "Commission" means the Public Utilities Commission.</w:t>
      </w:r>
    </w:p>
    <w:p w:rsidR="003C4DE7" w:rsidP="003C4DE7">
      <w:pPr>
        <w:ind w:left="720"/>
        <w:rPr>
          <w:rFonts w:ascii="Arial" w:eastAsia="Arial" w:hAnsi="Arial" w:cs="Arial"/>
        </w:rPr>
      </w:pPr>
      <w:bookmarkStart w:id="19" w:name="_PAR__17_5aa15fff_3946_45ed_bda6_52c63be"/>
      <w:bookmarkEnd w:id="18"/>
      <w:r>
        <w:rPr>
          <w:rFonts w:ascii="Arial" w:eastAsia="Arial" w:hAnsi="Arial" w:cs="Arial"/>
        </w:rPr>
        <w:t>B.  "Data center" means any facility in the State, which may be a freestanding structure or a facility within a larger structure, that primarily contains electronic equipment used to process, store and transmit digital information that uses environmental control equipment to maintain the proper conditions for the operation of electronic equipment.</w:t>
      </w:r>
    </w:p>
    <w:p w:rsidR="003C4DE7" w:rsidP="003C4DE7">
      <w:pPr>
        <w:ind w:left="720"/>
        <w:rPr>
          <w:rFonts w:ascii="Arial" w:eastAsia="Arial" w:hAnsi="Arial" w:cs="Arial"/>
        </w:rPr>
      </w:pPr>
      <w:bookmarkStart w:id="20" w:name="_PAR__18_38ff0896_08e0_48a5_a8c6_c40643f"/>
      <w:bookmarkEnd w:id="19"/>
      <w:r>
        <w:rPr>
          <w:rFonts w:ascii="Arial" w:eastAsia="Arial" w:hAnsi="Arial" w:cs="Arial"/>
        </w:rPr>
        <w:t xml:space="preserve">C.  "Electric demand" means, with respect to a data center, the projected or current electricity usage of the data center calculated based on aggregated load at a single site or contiguous parcels under common ownership or control. </w:t>
      </w:r>
    </w:p>
    <w:p w:rsidR="003C4DE7" w:rsidP="003C4DE7">
      <w:pPr>
        <w:ind w:left="720"/>
        <w:rPr>
          <w:rFonts w:ascii="Arial" w:eastAsia="Arial" w:hAnsi="Arial" w:cs="Arial"/>
        </w:rPr>
      </w:pPr>
      <w:bookmarkStart w:id="21" w:name="_PAR__19_be48f8d6_ec85_406a_b38d_476b716"/>
      <w:bookmarkEnd w:id="20"/>
      <w:r>
        <w:rPr>
          <w:rFonts w:ascii="Arial" w:eastAsia="Arial" w:hAnsi="Arial" w:cs="Arial"/>
        </w:rPr>
        <w:t xml:space="preserve">D.  "Exemption order" means an order issued by the commission after an adjudicatory proceeding as described in subsection 3. </w:t>
      </w:r>
    </w:p>
    <w:p w:rsidR="003C4DE7" w:rsidP="003C4DE7">
      <w:pPr>
        <w:ind w:left="360" w:firstLine="360"/>
        <w:rPr>
          <w:rFonts w:ascii="Arial" w:eastAsia="Arial" w:hAnsi="Arial" w:cs="Arial"/>
        </w:rPr>
      </w:pPr>
      <w:bookmarkStart w:id="22" w:name="_PAR__20_7fe748fc_1965_4a9c_a3a8_2217d9a"/>
      <w:bookmarkEnd w:id="21"/>
      <w:r w:rsidRPr="006C2979">
        <w:rPr>
          <w:rFonts w:ascii="Arial" w:eastAsia="Arial" w:hAnsi="Arial" w:cs="Arial"/>
          <w:b/>
        </w:rPr>
        <w:t>2.  Interim suspension.</w:t>
      </w:r>
      <w:r>
        <w:rPr>
          <w:rFonts w:ascii="Arial" w:eastAsia="Arial" w:hAnsi="Arial" w:cs="Arial"/>
        </w:rPr>
        <w:t xml:space="preserve">  Notwithstanding any provision of law to the contrary, prior to November 1, 2027, a municipality, a quasi-municipal entity or an agency of the State may not accept an application for or issue, approve or make finally effective a permit, certificate, license, lease authorization or other approval for the development, construction or operation of a data center with a projected or current electric demand of 20 megawatts </w:t>
      </w:r>
      <w:bookmarkStart w:id="23" w:name="_PAGE_SPLIT__98c71523_d3c7_463d_9f12_434"/>
      <w:bookmarkStart w:id="24" w:name="_PAGE__2_9d70f09f_7ade_4c0b_b026_b814d18"/>
      <w:bookmarkStart w:id="25" w:name="_PAR__2_23ea6079_ca6c_4d04_b4e1_561a2685"/>
      <w:bookmarkEnd w:id="1"/>
      <w:bookmarkEnd w:id="22"/>
      <w:r>
        <w:rPr>
          <w:rFonts w:ascii="Arial" w:eastAsia="Arial" w:hAnsi="Arial" w:cs="Arial"/>
        </w:rPr>
        <w:t>o</w:t>
      </w:r>
      <w:bookmarkEnd w:id="23"/>
      <w:r>
        <w:rPr>
          <w:rFonts w:ascii="Arial" w:eastAsia="Arial" w:hAnsi="Arial" w:cs="Arial"/>
        </w:rPr>
        <w:t xml:space="preserve">r more, other than a data center that has received an exemption order pursuant to subsection 3. </w:t>
      </w:r>
    </w:p>
    <w:p w:rsidR="003C4DE7" w:rsidP="003C4DE7">
      <w:pPr>
        <w:ind w:left="360" w:firstLine="360"/>
        <w:rPr>
          <w:rFonts w:ascii="Arial" w:eastAsia="Arial" w:hAnsi="Arial" w:cs="Arial"/>
        </w:rPr>
      </w:pPr>
      <w:bookmarkStart w:id="26" w:name="_PAR__3_ad2c255c_3e3c_4b5b_84bd_efda21c2"/>
      <w:bookmarkEnd w:id="25"/>
      <w:r w:rsidRPr="006C2979">
        <w:rPr>
          <w:rFonts w:ascii="Arial" w:eastAsia="Arial" w:hAnsi="Arial" w:cs="Arial"/>
          <w:b/>
        </w:rPr>
        <w:t>3.  Exempt data center projects.</w:t>
      </w:r>
      <w:r>
        <w:rPr>
          <w:rFonts w:ascii="Arial" w:eastAsia="Arial" w:hAnsi="Arial" w:cs="Arial"/>
        </w:rPr>
        <w:t xml:space="preserve">  A developer or operator of a data center may petition the commission for an exemption order to demonstrate to a municipality or agency of the State that the data center is not subject to the interim suspension under subsection 2. The commission may issue an exemption order after an adjudicatory proceeding, if the commission determines in its discretion that:</w:t>
      </w:r>
    </w:p>
    <w:p w:rsidR="003C4DE7" w:rsidP="003C4DE7">
      <w:pPr>
        <w:ind w:left="720"/>
        <w:rPr>
          <w:rFonts w:ascii="Arial" w:eastAsia="Arial" w:hAnsi="Arial" w:cs="Arial"/>
        </w:rPr>
      </w:pPr>
      <w:bookmarkStart w:id="27" w:name="_PAR__4_408e09eb_bf85_4e5a_9309_fcafdfec"/>
      <w:bookmarkEnd w:id="26"/>
      <w:r>
        <w:rPr>
          <w:rFonts w:ascii="Arial" w:eastAsia="Arial" w:hAnsi="Arial" w:cs="Arial"/>
        </w:rPr>
        <w:t>A.  The developer or operator of the data center:</w:t>
      </w:r>
    </w:p>
    <w:p w:rsidR="003C4DE7" w:rsidP="003C4DE7">
      <w:pPr>
        <w:ind w:left="1080"/>
        <w:rPr>
          <w:rFonts w:ascii="Arial" w:eastAsia="Arial" w:hAnsi="Arial" w:cs="Arial"/>
        </w:rPr>
      </w:pPr>
      <w:bookmarkStart w:id="28" w:name="_PAR__5_c99c761c_1768_4df1_883e_3ee112bb"/>
      <w:bookmarkEnd w:id="27"/>
      <w:r>
        <w:rPr>
          <w:rFonts w:ascii="Arial" w:eastAsia="Arial" w:hAnsi="Arial" w:cs="Arial"/>
        </w:rPr>
        <w:t>(1)  Prior to the effective date of this Act, established control of the data center site through ownership, an executed purchase agreement or option or binding long-term lease or option;</w:t>
      </w:r>
    </w:p>
    <w:p w:rsidR="003C4DE7" w:rsidP="003C4DE7">
      <w:pPr>
        <w:ind w:left="1080"/>
        <w:rPr>
          <w:rFonts w:ascii="Arial" w:eastAsia="Arial" w:hAnsi="Arial" w:cs="Arial"/>
        </w:rPr>
      </w:pPr>
      <w:bookmarkStart w:id="29" w:name="_PAR__6_80cbc1df_7b96_4644_b4d0_3b1d7016"/>
      <w:bookmarkEnd w:id="28"/>
      <w:r>
        <w:rPr>
          <w:rFonts w:ascii="Arial" w:eastAsia="Arial" w:hAnsi="Arial" w:cs="Arial"/>
        </w:rPr>
        <w:t>(2)  Prior to the effective date of this Act, executed a binding interconnection agreement or obtained written confirmation from the applicable transmission and distribution utility specifying available electric capacity at the data center site without requiring transmission or distribution upgrades funded through transmission and distribution rates;</w:t>
      </w:r>
    </w:p>
    <w:p w:rsidR="003C4DE7" w:rsidP="003C4DE7">
      <w:pPr>
        <w:ind w:left="1080"/>
        <w:rPr>
          <w:rFonts w:ascii="Arial" w:eastAsia="Arial" w:hAnsi="Arial" w:cs="Arial"/>
        </w:rPr>
      </w:pPr>
      <w:bookmarkStart w:id="30" w:name="_PAR__7_715c9235_3957_40cf_b013_8818b39c"/>
      <w:bookmarkEnd w:id="29"/>
      <w:r>
        <w:rPr>
          <w:rFonts w:ascii="Arial" w:eastAsia="Arial" w:hAnsi="Arial" w:cs="Arial"/>
        </w:rPr>
        <w:t xml:space="preserve">(3)  Demonstrates to the commission's satisfaction that the owner or operator has the capability to execute on a timely basis a binding construction contract or redevelopment agreement; </w:t>
      </w:r>
    </w:p>
    <w:p w:rsidR="003C4DE7" w:rsidP="003C4DE7">
      <w:pPr>
        <w:ind w:left="1080"/>
        <w:rPr>
          <w:rFonts w:ascii="Arial" w:eastAsia="Arial" w:hAnsi="Arial" w:cs="Arial"/>
        </w:rPr>
      </w:pPr>
      <w:bookmarkStart w:id="31" w:name="_PAR__8_d1ba937c_775a_4a7e_abb6_ab10b6c5"/>
      <w:bookmarkEnd w:id="30"/>
      <w:r>
        <w:rPr>
          <w:rFonts w:ascii="Arial" w:eastAsia="Arial" w:hAnsi="Arial" w:cs="Arial"/>
        </w:rPr>
        <w:t>(4)  Demonstrates to the commission's satisfaction that the owner or operator has the capability to execute on a timely basis a substantial financial commitment through secured financing, equity contribution or other legally binding financial obligation; and</w:t>
      </w:r>
    </w:p>
    <w:p w:rsidR="003C4DE7" w:rsidP="003C4DE7">
      <w:pPr>
        <w:ind w:left="1080"/>
        <w:rPr>
          <w:rFonts w:ascii="Arial" w:eastAsia="Arial" w:hAnsi="Arial" w:cs="Arial"/>
        </w:rPr>
      </w:pPr>
      <w:bookmarkStart w:id="32" w:name="_PAR__9_c26e72ef_786a_45e4_9c21_09a28457"/>
      <w:bookmarkEnd w:id="31"/>
      <w:r>
        <w:rPr>
          <w:rFonts w:ascii="Arial" w:eastAsia="Arial" w:hAnsi="Arial" w:cs="Arial"/>
        </w:rPr>
        <w:t>(5)  Demonstrates the owner or operator has established appropriate cost allocation mechanisms with the transmission and distribution utility in whose service territory the data center will be located to ensure that the project bears the full cost of any infrastructure upgrades required to serve the load; and</w:t>
      </w:r>
    </w:p>
    <w:p w:rsidR="003C4DE7" w:rsidP="003C4DE7">
      <w:pPr>
        <w:ind w:left="720"/>
        <w:rPr>
          <w:rFonts w:ascii="Arial" w:eastAsia="Arial" w:hAnsi="Arial" w:cs="Arial"/>
        </w:rPr>
      </w:pPr>
      <w:bookmarkStart w:id="33" w:name="_PAR__10_a8ee722e_61a8_442b_bdc4_8b3113e"/>
      <w:bookmarkEnd w:id="32"/>
      <w:r>
        <w:rPr>
          <w:rFonts w:ascii="Arial" w:eastAsia="Arial" w:hAnsi="Arial" w:cs="Arial"/>
        </w:rPr>
        <w:t>B.  The data center:</w:t>
      </w:r>
    </w:p>
    <w:p w:rsidR="003C4DE7" w:rsidP="003C4DE7">
      <w:pPr>
        <w:ind w:left="1080"/>
        <w:rPr>
          <w:rFonts w:ascii="Arial" w:eastAsia="Arial" w:hAnsi="Arial" w:cs="Arial"/>
        </w:rPr>
      </w:pPr>
      <w:bookmarkStart w:id="34" w:name="_PAR__11_6d99b59c_0a1d_423f_aa62_6be56b5"/>
      <w:bookmarkEnd w:id="33"/>
      <w:r>
        <w:rPr>
          <w:rFonts w:ascii="Arial" w:eastAsia="Arial" w:hAnsi="Arial" w:cs="Arial"/>
        </w:rPr>
        <w:t>(1)  Will not materially increase transmission and distribution costs to ratepayers in the State;</w:t>
      </w:r>
    </w:p>
    <w:p w:rsidR="003C4DE7" w:rsidP="003C4DE7">
      <w:pPr>
        <w:ind w:left="1080"/>
        <w:rPr>
          <w:rFonts w:ascii="Arial" w:eastAsia="Arial" w:hAnsi="Arial" w:cs="Arial"/>
        </w:rPr>
      </w:pPr>
      <w:bookmarkStart w:id="35" w:name="_PAR__12_96693226_ac9b_49bd_b00a_85b07e6"/>
      <w:bookmarkEnd w:id="34"/>
      <w:r>
        <w:rPr>
          <w:rFonts w:ascii="Arial" w:eastAsia="Arial" w:hAnsi="Arial" w:cs="Arial"/>
        </w:rPr>
        <w:t>(2)  Does not have a projected electrical demand that will exceed the level documented in the binding interconnection agreement or written confirmation from the utility described in paragraph A, subparagraph 2;</w:t>
      </w:r>
    </w:p>
    <w:p w:rsidR="003C4DE7" w:rsidP="003C4DE7">
      <w:pPr>
        <w:ind w:left="1080"/>
        <w:rPr>
          <w:rFonts w:ascii="Arial" w:eastAsia="Arial" w:hAnsi="Arial" w:cs="Arial"/>
        </w:rPr>
      </w:pPr>
      <w:bookmarkStart w:id="36" w:name="_PAR__13_332dc837_6032_465e_9541_5f5f7e1"/>
      <w:bookmarkEnd w:id="35"/>
      <w:r>
        <w:rPr>
          <w:rFonts w:ascii="Arial" w:eastAsia="Arial" w:hAnsi="Arial" w:cs="Arial"/>
        </w:rPr>
        <w:t>(3)  Does not have projected water withdrawals, consumption or discharge that will materially adversely affect local water resources, municipal or regional water systems or wastewater treatment capacity; and</w:t>
      </w:r>
    </w:p>
    <w:p w:rsidR="003C4DE7" w:rsidP="003C4DE7">
      <w:pPr>
        <w:ind w:left="1080"/>
        <w:rPr>
          <w:rFonts w:ascii="Arial" w:eastAsia="Arial" w:hAnsi="Arial" w:cs="Arial"/>
        </w:rPr>
      </w:pPr>
      <w:bookmarkStart w:id="37" w:name="_PAR__14_ec299f1c_1ea6_42fc_8cb8_b085d55"/>
      <w:bookmarkEnd w:id="36"/>
      <w:r>
        <w:rPr>
          <w:rFonts w:ascii="Arial" w:eastAsia="Arial" w:hAnsi="Arial" w:cs="Arial"/>
        </w:rPr>
        <w:t>(4)  Does not have projected natural gas consumption, if any, including fuel used for on-site generation or backup generation, that will materially increase rates or utility infrastructure requirements borne by other natural gas customers.</w:t>
      </w:r>
    </w:p>
    <w:p w:rsidR="003C4DE7" w:rsidP="003C4DE7">
      <w:pPr>
        <w:ind w:left="360"/>
        <w:rPr>
          <w:rFonts w:ascii="Arial" w:eastAsia="Arial" w:hAnsi="Arial" w:cs="Arial"/>
        </w:rPr>
      </w:pPr>
      <w:bookmarkStart w:id="38" w:name="_PAR__15_b1663bfa_d416_45c5_81ec_6be99c0"/>
      <w:bookmarkEnd w:id="37"/>
      <w:r>
        <w:rPr>
          <w:rFonts w:ascii="Arial" w:eastAsia="Arial" w:hAnsi="Arial" w:cs="Arial"/>
        </w:rPr>
        <w:t xml:space="preserve">In evaluating a petition under this subsection, the commission may consult with the Department of Environmental Protection, the Department of Energy Resources and any relevant municipal water or wastewater authorities. The commission may impose </w:t>
      </w:r>
      <w:bookmarkStart w:id="39" w:name="_PAGE_SPLIT__b8c61cd6_3a20_436f_9133_513"/>
      <w:bookmarkStart w:id="40" w:name="_PAGE__3_b61b255c_8239_4e1b_897d_f6bfb47"/>
      <w:bookmarkStart w:id="41" w:name="_PAR__2_d976f055_28d1_43b4_9808_1f883e2a"/>
      <w:bookmarkEnd w:id="24"/>
      <w:bookmarkEnd w:id="38"/>
      <w:r>
        <w:rPr>
          <w:rFonts w:ascii="Arial" w:eastAsia="Arial" w:hAnsi="Arial" w:cs="Arial"/>
        </w:rPr>
        <w:t>c</w:t>
      </w:r>
      <w:bookmarkEnd w:id="39"/>
      <w:r>
        <w:rPr>
          <w:rFonts w:ascii="Arial" w:eastAsia="Arial" w:hAnsi="Arial" w:cs="Arial"/>
        </w:rPr>
        <w:t xml:space="preserve">onditions in its exemption order that the commission determines are necessary to protect ratepayers, water resources, natural gas customers or system reliability. </w:t>
      </w:r>
    </w:p>
    <w:p w:rsidR="003C4DE7" w:rsidP="003C4DE7">
      <w:pPr>
        <w:ind w:left="360"/>
        <w:rPr>
          <w:rFonts w:ascii="Arial" w:eastAsia="Arial" w:hAnsi="Arial" w:cs="Arial"/>
        </w:rPr>
      </w:pPr>
      <w:bookmarkStart w:id="42" w:name="_PAR__3_b76aebb8_1b66_4527_a011_a1a24775"/>
      <w:bookmarkEnd w:id="41"/>
      <w:r>
        <w:rPr>
          <w:rFonts w:ascii="Arial" w:eastAsia="Arial" w:hAnsi="Arial" w:cs="Arial"/>
        </w:rPr>
        <w:t>If the commission issues an exemption order in accordance with this subsection, the commission shall promptly, and no later than the next general electric rate or stranded cost recovery proceeding, allocate to ratepayers any transmission and distribution rate reductions resulting solely from the projected and actual operation of a data center that has received the exemption order.</w:t>
      </w:r>
    </w:p>
    <w:p w:rsidR="003C4DE7" w:rsidP="003C4DE7">
      <w:pPr>
        <w:ind w:left="360" w:firstLine="360"/>
        <w:rPr>
          <w:rFonts w:ascii="Arial" w:eastAsia="Arial" w:hAnsi="Arial" w:cs="Arial"/>
        </w:rPr>
      </w:pPr>
      <w:bookmarkStart w:id="43" w:name="_PAR__4_8ba5850e_74ca_4c1d_94c5_7a603efe"/>
      <w:bookmarkEnd w:id="42"/>
      <w:r w:rsidRPr="006C2979">
        <w:rPr>
          <w:rFonts w:ascii="Arial" w:eastAsia="Arial" w:hAnsi="Arial" w:cs="Arial"/>
          <w:b/>
        </w:rPr>
        <w:t>4.  Limitation on increased electric demand.</w:t>
      </w:r>
      <w:r>
        <w:rPr>
          <w:rFonts w:ascii="Arial" w:eastAsia="Arial" w:hAnsi="Arial" w:cs="Arial"/>
        </w:rPr>
        <w:t xml:space="preserve">  Prior to November 1, 2027, a data center receiving an exemption order pursuant to subsection 3 may not increase its electric demand beyond the level documented in its petition to the commission unless the commission approves the increase following notice and opportunity for hearing and finds that the criteria described in subsection 3, paragraphs A and B remain satisfied and that the data center's electric demand delivered through the facilities of a transmission and distribution utility is no more than 100 megawatts.</w:t>
      </w:r>
    </w:p>
    <w:p w:rsidR="003C4DE7" w:rsidP="003C4DE7">
      <w:pPr>
        <w:ind w:left="360" w:firstLine="360"/>
        <w:rPr>
          <w:rFonts w:ascii="Arial" w:eastAsia="Arial" w:hAnsi="Arial" w:cs="Arial"/>
        </w:rPr>
      </w:pPr>
      <w:bookmarkStart w:id="44" w:name="_PAR__5_1bc3c162_3f4b_4141_9065_82745eb2"/>
      <w:bookmarkEnd w:id="43"/>
      <w:r w:rsidRPr="006C2979">
        <w:rPr>
          <w:rFonts w:ascii="Arial" w:eastAsia="Arial" w:hAnsi="Arial" w:cs="Arial"/>
          <w:b/>
        </w:rPr>
        <w:t>5.  Restriction on financial incentives.</w:t>
      </w:r>
      <w:r>
        <w:rPr>
          <w:rFonts w:ascii="Arial" w:eastAsia="Arial" w:hAnsi="Arial" w:cs="Arial"/>
        </w:rPr>
        <w:t xml:space="preserve">  Notwithstanding any provision of law to the contrary, prior to November 1, 2027, a state agency or quasi-independent state agency may not approve, award or disburse state-funded financial incentives, grants, loans, refundable or transferable tax credits or other discretionary economic development benefits for a data center with an electric demand of 20 megawatts or more. This subsection does not apply to incentives that were finally approved and legally binding prior to the effective date of this Act.</w:t>
      </w:r>
    </w:p>
    <w:p w:rsidR="003C4DE7" w:rsidP="003C4DE7">
      <w:pPr>
        <w:ind w:left="360" w:firstLine="360"/>
        <w:rPr>
          <w:rFonts w:ascii="Arial" w:eastAsia="Arial" w:hAnsi="Arial" w:cs="Arial"/>
        </w:rPr>
      </w:pPr>
      <w:bookmarkStart w:id="45" w:name="_PAR__6_d8d30ee6_4659_449a_afa5_0d5f978d"/>
      <w:bookmarkEnd w:id="44"/>
      <w:r w:rsidRPr="006C2979">
        <w:rPr>
          <w:rFonts w:ascii="Arial" w:eastAsia="Arial" w:hAnsi="Arial" w:cs="Arial"/>
          <w:b/>
        </w:rPr>
        <w:t xml:space="preserve">6. </w:t>
      </w:r>
      <w:r>
        <w:rPr>
          <w:rFonts w:ascii="Arial" w:eastAsia="Arial" w:hAnsi="Arial" w:cs="Arial"/>
          <w:b/>
        </w:rPr>
        <w:t xml:space="preserve"> </w:t>
      </w:r>
      <w:r w:rsidRPr="006C2979">
        <w:rPr>
          <w:rFonts w:ascii="Arial" w:eastAsia="Arial" w:hAnsi="Arial" w:cs="Arial"/>
          <w:b/>
        </w:rPr>
        <w:t>Repeal.</w:t>
      </w:r>
      <w:r>
        <w:rPr>
          <w:rFonts w:ascii="Arial" w:eastAsia="Arial" w:hAnsi="Arial" w:cs="Arial"/>
        </w:rPr>
        <w:t xml:space="preserve">  This section is repealed November 1, 2027.</w:t>
      </w:r>
    </w:p>
    <w:p w:rsidR="003C4DE7" w:rsidP="003C4DE7">
      <w:pPr>
        <w:ind w:left="360" w:firstLine="360"/>
        <w:rPr>
          <w:rFonts w:ascii="Arial" w:eastAsia="Arial" w:hAnsi="Arial" w:cs="Arial"/>
        </w:rPr>
      </w:pPr>
      <w:bookmarkStart w:id="46" w:name="_PAR__7_7724ce73_2054_44af_844e_2968d33f"/>
      <w:bookmarkEnd w:id="45"/>
      <w:r>
        <w:rPr>
          <w:rFonts w:ascii="Arial" w:eastAsia="Arial" w:hAnsi="Arial" w:cs="Arial"/>
          <w:b/>
          <w:sz w:val="24"/>
        </w:rPr>
        <w:t>Sec. 2.</w:t>
      </w:r>
      <w:r w:rsidRPr="006C2979">
        <w:rPr>
          <w:rFonts w:ascii="Arial" w:eastAsia="Arial" w:hAnsi="Arial" w:cs="Arial"/>
          <w:b/>
          <w:sz w:val="24"/>
        </w:rPr>
        <w:t xml:space="preserve">  Establishment of Maine Data Center Coordination Council.</w:t>
      </w:r>
      <w:r>
        <w:rPr>
          <w:rFonts w:ascii="Arial" w:eastAsia="Arial" w:hAnsi="Arial" w:cs="Arial"/>
        </w:rPr>
        <w:t xml:space="preserve">  The Department of Energy Resources shall convene the Maine Data Center Coordination Council, referred to in this legislation as "the council," to provide strategic input, facilitate coordinated state planning considerations and evaluate policy tools to address data center opportunities and related benefits and risks to the State. For the purposes of this section, "data center" means any facility in the State, which may be a freestanding structure or a facility within a larger structure, that primarily contains electronic equipment used to process, store and transmit digital information that uses environmental control equipment to maintain the proper conditions for the operation of electronic equipment.</w:t>
      </w:r>
    </w:p>
    <w:p w:rsidR="003C4DE7" w:rsidP="003C4DE7">
      <w:pPr>
        <w:ind w:left="360" w:firstLine="360"/>
        <w:rPr>
          <w:rFonts w:ascii="Arial" w:eastAsia="Arial" w:hAnsi="Arial" w:cs="Arial"/>
        </w:rPr>
      </w:pPr>
      <w:bookmarkStart w:id="47" w:name="_PAR__8_2c197f85_63fd_400c_bac4_878e0ff5"/>
      <w:bookmarkEnd w:id="46"/>
      <w:r>
        <w:rPr>
          <w:rFonts w:ascii="Arial" w:eastAsia="Arial" w:hAnsi="Arial" w:cs="Arial"/>
        </w:rPr>
        <w:t>1.  The council shall evaluate issues related to data centers located or proposed to be located in the State, with the goals of protecting ratepayers, maintaining electric grid reliability, minimizing environmental impacts and enabling responsible and appropriately sited economic development. In conducting its evaluation, the council shall consider the State's policy goals related to renewable energy in the Maine Revised Statutes, Title 35-A, section 3210, greenhouse gas reduction objectives, including those in Title 38, section 576</w:t>
      </w:r>
      <w:r>
        <w:rPr>
          <w:rFonts w:ascii="Arial" w:eastAsia="Arial" w:hAnsi="Arial" w:cs="Arial"/>
        </w:rPr>
        <w:noBreakHyphen/>
        <w:t>A, goals for broadband service established in Title 35-A, section 9202-A, the state economic development strategy and the legislative findings described in Title 38, section 480-A. In carrying out its work, the council shall:</w:t>
      </w:r>
    </w:p>
    <w:p w:rsidR="003C4DE7" w:rsidP="003C4DE7">
      <w:pPr>
        <w:ind w:left="720"/>
        <w:rPr>
          <w:rFonts w:ascii="Arial" w:eastAsia="Arial" w:hAnsi="Arial" w:cs="Arial"/>
        </w:rPr>
      </w:pPr>
      <w:bookmarkStart w:id="48" w:name="_PAR__9_6e99c6c7_c127_43d6_bc0b_96fe30c3"/>
      <w:bookmarkEnd w:id="47"/>
      <w:r>
        <w:rPr>
          <w:rFonts w:ascii="Arial" w:eastAsia="Arial" w:hAnsi="Arial" w:cs="Arial"/>
        </w:rPr>
        <w:t>A.  Review and consider legislation related to data centers that has been considered or adopted in other states;</w:t>
      </w:r>
    </w:p>
    <w:p w:rsidR="003C4DE7" w:rsidP="003C4DE7">
      <w:pPr>
        <w:ind w:left="720"/>
        <w:rPr>
          <w:rFonts w:ascii="Arial" w:eastAsia="Arial" w:hAnsi="Arial" w:cs="Arial"/>
        </w:rPr>
      </w:pPr>
      <w:bookmarkStart w:id="49" w:name="_PAGE__4_cd1b8b4a_9a92_4516_934e_65f4d7f"/>
      <w:bookmarkStart w:id="50" w:name="_PAR__2_904f619e_68c8_4581_8505_1b6de3a3"/>
      <w:bookmarkEnd w:id="40"/>
      <w:bookmarkEnd w:id="48"/>
      <w:r>
        <w:rPr>
          <w:rFonts w:ascii="Arial" w:eastAsia="Arial" w:hAnsi="Arial" w:cs="Arial"/>
        </w:rPr>
        <w:t>B.  Evaluate projections of electric load growth, infrastructure needs and system reliability and resource adequacy impacts associated with data centers in the State and the ISO-New England region;</w:t>
      </w:r>
    </w:p>
    <w:p w:rsidR="003C4DE7" w:rsidP="003C4DE7">
      <w:pPr>
        <w:ind w:left="720"/>
        <w:rPr>
          <w:rFonts w:ascii="Arial" w:eastAsia="Arial" w:hAnsi="Arial" w:cs="Arial"/>
        </w:rPr>
      </w:pPr>
      <w:bookmarkStart w:id="51" w:name="_PAR__3_1590b68f_5735_417f_8745_5033fe7c"/>
      <w:bookmarkEnd w:id="50"/>
      <w:r>
        <w:rPr>
          <w:rFonts w:ascii="Arial" w:eastAsia="Arial" w:hAnsi="Arial" w:cs="Arial"/>
        </w:rPr>
        <w:t>C.  Identify strategies to protect ratepayers from rate inflation or negative financial effects resulting from data centers, including, but not limited to, cost allocation approaches, rate design changes, impact fees, efficiency standards, energy supply obligations and demand response and load flexibility during periods of high demand or grid emergencies;</w:t>
      </w:r>
    </w:p>
    <w:p w:rsidR="003C4DE7" w:rsidP="003C4DE7">
      <w:pPr>
        <w:ind w:left="720"/>
        <w:rPr>
          <w:rFonts w:ascii="Arial" w:eastAsia="Arial" w:hAnsi="Arial" w:cs="Arial"/>
        </w:rPr>
      </w:pPr>
      <w:bookmarkStart w:id="52" w:name="_PAR__4_8e1b72b4_3a58_416f_90c8_abc0e7fc"/>
      <w:bookmarkEnd w:id="51"/>
      <w:r>
        <w:rPr>
          <w:rFonts w:ascii="Arial" w:eastAsia="Arial" w:hAnsi="Arial" w:cs="Arial"/>
        </w:rPr>
        <w:t xml:space="preserve">D.  Review applicability of existing state programs and financial tools to data centers; </w:t>
      </w:r>
    </w:p>
    <w:p w:rsidR="003C4DE7" w:rsidP="003C4DE7">
      <w:pPr>
        <w:ind w:left="720"/>
        <w:rPr>
          <w:rFonts w:ascii="Arial" w:eastAsia="Arial" w:hAnsi="Arial" w:cs="Arial"/>
        </w:rPr>
      </w:pPr>
      <w:bookmarkStart w:id="53" w:name="_PAR__5_2f7bf393_5cdc_4829_86ba_04975bcf"/>
      <w:bookmarkEnd w:id="52"/>
      <w:r>
        <w:rPr>
          <w:rFonts w:ascii="Arial" w:eastAsia="Arial" w:hAnsi="Arial" w:cs="Arial"/>
        </w:rPr>
        <w:t>E.  Assess potential environmental and natural resource impacts, including, but not limited to, water use, emissions, land use and other impacts on host communities, and identify strategies to minimize adverse impacts;</w:t>
      </w:r>
    </w:p>
    <w:p w:rsidR="003C4DE7" w:rsidP="003C4DE7">
      <w:pPr>
        <w:ind w:left="720"/>
        <w:rPr>
          <w:rFonts w:ascii="Arial" w:eastAsia="Arial" w:hAnsi="Arial" w:cs="Arial"/>
        </w:rPr>
      </w:pPr>
      <w:bookmarkStart w:id="54" w:name="_PAR__6_7026336b_10db_4745_a838_25da85f9"/>
      <w:bookmarkEnd w:id="53"/>
      <w:r>
        <w:rPr>
          <w:rFonts w:ascii="Arial" w:eastAsia="Arial" w:hAnsi="Arial" w:cs="Arial"/>
        </w:rPr>
        <w:t>F.  Consider data-sharing requirements and processes for proposed data centers, including use of nondisclosure agreements and identify information essential to grid operators, electric utilities, state agencies and policy makers regarding electric load, peak demand, water use and other operational characteristics necessary to inform state and local planning;</w:t>
      </w:r>
    </w:p>
    <w:p w:rsidR="003C4DE7" w:rsidP="003C4DE7">
      <w:pPr>
        <w:ind w:left="720"/>
        <w:rPr>
          <w:rFonts w:ascii="Arial" w:eastAsia="Arial" w:hAnsi="Arial" w:cs="Arial"/>
        </w:rPr>
      </w:pPr>
      <w:bookmarkStart w:id="55" w:name="_PAR__7_e94b3f63_72aa_4e1c_980c_050da2ac"/>
      <w:bookmarkEnd w:id="54"/>
      <w:r>
        <w:rPr>
          <w:rFonts w:ascii="Arial" w:eastAsia="Arial" w:hAnsi="Arial" w:cs="Arial"/>
        </w:rPr>
        <w:t>G.  Offer guidance to assist municipalities in assessing potential data center impacts and benefits, including the use of community benefit agreements; and</w:t>
      </w:r>
    </w:p>
    <w:p w:rsidR="003C4DE7" w:rsidP="003C4DE7">
      <w:pPr>
        <w:ind w:left="720"/>
        <w:rPr>
          <w:rFonts w:ascii="Arial" w:eastAsia="Arial" w:hAnsi="Arial" w:cs="Arial"/>
        </w:rPr>
      </w:pPr>
      <w:bookmarkStart w:id="56" w:name="_PAR__8_11365091_094c_4523_9d17_38fe6eb6"/>
      <w:bookmarkEnd w:id="55"/>
      <w:r>
        <w:rPr>
          <w:rFonts w:ascii="Arial" w:eastAsia="Arial" w:hAnsi="Arial" w:cs="Arial"/>
        </w:rPr>
        <w:t>H.  Develop recommendations to clarify roles, responsibilities, information-sharing practices and timelines among state agencies, utilities, municipalities and other governmental entities to support coordinated, timely and well-informed responses to data center development inquiries.</w:t>
      </w:r>
    </w:p>
    <w:p w:rsidR="003C4DE7" w:rsidP="003C4DE7">
      <w:pPr>
        <w:ind w:left="360" w:firstLine="360"/>
        <w:rPr>
          <w:rFonts w:ascii="Arial" w:eastAsia="Arial" w:hAnsi="Arial" w:cs="Arial"/>
        </w:rPr>
      </w:pPr>
      <w:bookmarkStart w:id="57" w:name="_PAR__9_0e28b83f_bc17_4e31_a2a1_a8bd5c06"/>
      <w:bookmarkEnd w:id="56"/>
      <w:r>
        <w:rPr>
          <w:rFonts w:ascii="Arial" w:eastAsia="Arial" w:hAnsi="Arial" w:cs="Arial"/>
        </w:rPr>
        <w:t>2.  The Commissioner of Energy Resources or the commissioner's designee shall serve as chair of the council. The council must include the following 14 additional members:</w:t>
      </w:r>
    </w:p>
    <w:p w:rsidR="003C4DE7" w:rsidP="003C4DE7">
      <w:pPr>
        <w:ind w:left="720"/>
        <w:rPr>
          <w:rFonts w:ascii="Arial" w:eastAsia="Arial" w:hAnsi="Arial" w:cs="Arial"/>
        </w:rPr>
      </w:pPr>
      <w:bookmarkStart w:id="58" w:name="_PAR__10_2207838b_bdc5_454a_9c09_5bda70c"/>
      <w:bookmarkEnd w:id="57"/>
      <w:r>
        <w:rPr>
          <w:rFonts w:ascii="Arial" w:eastAsia="Arial" w:hAnsi="Arial" w:cs="Arial"/>
        </w:rPr>
        <w:t>A.  The Director of the Maine Office of Community Affairs or the director's designee;</w:t>
      </w:r>
    </w:p>
    <w:p w:rsidR="003C4DE7" w:rsidP="003C4DE7">
      <w:pPr>
        <w:ind w:left="720"/>
        <w:rPr>
          <w:rFonts w:ascii="Arial" w:eastAsia="Arial" w:hAnsi="Arial" w:cs="Arial"/>
        </w:rPr>
      </w:pPr>
      <w:bookmarkStart w:id="59" w:name="_PAR__11_57d0bde3_ea8b_421f_8691_7580ff7"/>
      <w:bookmarkEnd w:id="58"/>
      <w:r>
        <w:rPr>
          <w:rFonts w:ascii="Arial" w:eastAsia="Arial" w:hAnsi="Arial" w:cs="Arial"/>
        </w:rPr>
        <w:t>B.  The Commissioner of Economic and Community Development or the commissioner's designee;</w:t>
      </w:r>
    </w:p>
    <w:p w:rsidR="003C4DE7" w:rsidP="003C4DE7">
      <w:pPr>
        <w:ind w:left="720"/>
        <w:rPr>
          <w:rFonts w:ascii="Arial" w:eastAsia="Arial" w:hAnsi="Arial" w:cs="Arial"/>
        </w:rPr>
      </w:pPr>
      <w:bookmarkStart w:id="60" w:name="_PAR__12_4910d7e6_bd33_4d96_a1b7_4a05e5d"/>
      <w:bookmarkEnd w:id="59"/>
      <w:r>
        <w:rPr>
          <w:rFonts w:ascii="Arial" w:eastAsia="Arial" w:hAnsi="Arial" w:cs="Arial"/>
        </w:rPr>
        <w:t>C.  The Public Advocate or the Public Advocate's designee;</w:t>
      </w:r>
    </w:p>
    <w:p w:rsidR="003C4DE7" w:rsidP="003C4DE7">
      <w:pPr>
        <w:ind w:left="720"/>
        <w:rPr>
          <w:rFonts w:ascii="Arial" w:eastAsia="Arial" w:hAnsi="Arial" w:cs="Arial"/>
        </w:rPr>
      </w:pPr>
      <w:bookmarkStart w:id="61" w:name="_PAR__13_54b27826_a582_4c25_87a3_f391f84"/>
      <w:bookmarkEnd w:id="60"/>
      <w:r>
        <w:rPr>
          <w:rFonts w:ascii="Arial" w:eastAsia="Arial" w:hAnsi="Arial" w:cs="Arial"/>
        </w:rPr>
        <w:t>D.  The chair of the Public Utilities Commission or the chair's designee;</w:t>
      </w:r>
    </w:p>
    <w:p w:rsidR="003C4DE7" w:rsidP="003C4DE7">
      <w:pPr>
        <w:ind w:left="720"/>
        <w:rPr>
          <w:rFonts w:ascii="Arial" w:eastAsia="Arial" w:hAnsi="Arial" w:cs="Arial"/>
        </w:rPr>
      </w:pPr>
      <w:bookmarkStart w:id="62" w:name="_PAR__14_87c68510_1f20_481c_ac49_3e4b2fe"/>
      <w:bookmarkEnd w:id="61"/>
      <w:r>
        <w:rPr>
          <w:rFonts w:ascii="Arial" w:eastAsia="Arial" w:hAnsi="Arial" w:cs="Arial"/>
        </w:rPr>
        <w:t>E.  The president of the Maine Connectivity Authority or the president's designee;</w:t>
      </w:r>
    </w:p>
    <w:p w:rsidR="003C4DE7" w:rsidP="003C4DE7">
      <w:pPr>
        <w:ind w:left="720"/>
        <w:rPr>
          <w:rFonts w:ascii="Arial" w:eastAsia="Arial" w:hAnsi="Arial" w:cs="Arial"/>
        </w:rPr>
      </w:pPr>
      <w:bookmarkStart w:id="63" w:name="_PAR__15_e46dfae4_ee92_44b7_9d1f_94331f3"/>
      <w:bookmarkEnd w:id="62"/>
      <w:r>
        <w:rPr>
          <w:rFonts w:ascii="Arial" w:eastAsia="Arial" w:hAnsi="Arial" w:cs="Arial"/>
        </w:rPr>
        <w:t>F.  The Commissioner of Environmental Protection or the commissioner's designee;</w:t>
      </w:r>
    </w:p>
    <w:p w:rsidR="003C4DE7" w:rsidP="003C4DE7">
      <w:pPr>
        <w:ind w:left="720"/>
        <w:rPr>
          <w:rFonts w:ascii="Arial" w:eastAsia="Arial" w:hAnsi="Arial" w:cs="Arial"/>
        </w:rPr>
      </w:pPr>
      <w:bookmarkStart w:id="64" w:name="_PAR__16_fee7f1d5_2cc1_4494_a19d_8785247"/>
      <w:bookmarkEnd w:id="63"/>
      <w:r>
        <w:rPr>
          <w:rFonts w:ascii="Arial" w:eastAsia="Arial" w:hAnsi="Arial" w:cs="Arial"/>
        </w:rPr>
        <w:t>G.  The executive director of the Wabanaki Alliance or the executive director's designee;</w:t>
      </w:r>
    </w:p>
    <w:p w:rsidR="003C4DE7" w:rsidP="003C4DE7">
      <w:pPr>
        <w:ind w:left="720"/>
        <w:rPr>
          <w:rFonts w:ascii="Arial" w:eastAsia="Arial" w:hAnsi="Arial" w:cs="Arial"/>
        </w:rPr>
      </w:pPr>
      <w:bookmarkStart w:id="65" w:name="_PAR__17_3bf2daf4_d08b_4133_9e81_a6a31da"/>
      <w:bookmarkEnd w:id="64"/>
      <w:r>
        <w:rPr>
          <w:rFonts w:ascii="Arial" w:eastAsia="Arial" w:hAnsi="Arial" w:cs="Arial"/>
        </w:rPr>
        <w:t>H.  The following 7 members appointed by the Commissioner of Energy Resources or the commissioner's designee:</w:t>
      </w:r>
    </w:p>
    <w:p w:rsidR="003C4DE7" w:rsidP="003C4DE7">
      <w:pPr>
        <w:ind w:left="1080"/>
        <w:rPr>
          <w:rFonts w:ascii="Arial" w:eastAsia="Arial" w:hAnsi="Arial" w:cs="Arial"/>
        </w:rPr>
      </w:pPr>
      <w:bookmarkStart w:id="66" w:name="_PAR__18_de047d94_d8e4_4291_9724_f2f223b"/>
      <w:bookmarkEnd w:id="65"/>
      <w:r>
        <w:rPr>
          <w:rFonts w:ascii="Arial" w:eastAsia="Arial" w:hAnsi="Arial" w:cs="Arial"/>
        </w:rPr>
        <w:t>(1)  A representative of the Maine Municipal Association;</w:t>
      </w:r>
    </w:p>
    <w:p w:rsidR="003C4DE7" w:rsidP="003C4DE7">
      <w:pPr>
        <w:ind w:left="1080"/>
        <w:rPr>
          <w:rFonts w:ascii="Arial" w:eastAsia="Arial" w:hAnsi="Arial" w:cs="Arial"/>
        </w:rPr>
      </w:pPr>
      <w:bookmarkStart w:id="67" w:name="_PAR__19_0db35ff6_f877_48f0_be3b_8037850"/>
      <w:bookmarkEnd w:id="66"/>
      <w:r>
        <w:rPr>
          <w:rFonts w:ascii="Arial" w:eastAsia="Arial" w:hAnsi="Arial" w:cs="Arial"/>
        </w:rPr>
        <w:t xml:space="preserve">(2)  One representative each from the 2 investor-owned transmission and distribution utilities in the State and one representative of the interests of cooperative and municipally owned utilities in the State; </w:t>
      </w:r>
    </w:p>
    <w:p w:rsidR="003C4DE7" w:rsidP="003C4DE7">
      <w:pPr>
        <w:ind w:left="1080"/>
        <w:rPr>
          <w:rFonts w:ascii="Arial" w:eastAsia="Arial" w:hAnsi="Arial" w:cs="Arial"/>
        </w:rPr>
      </w:pPr>
      <w:bookmarkStart w:id="68" w:name="_PAGE__5_267b4c64_a0b1_4479_bd28_3fd58d0"/>
      <w:bookmarkStart w:id="69" w:name="_PAR__2_93901360_4873_4e13_b347_cf041e5c"/>
      <w:bookmarkEnd w:id="49"/>
      <w:bookmarkEnd w:id="67"/>
      <w:r>
        <w:rPr>
          <w:rFonts w:ascii="Arial" w:eastAsia="Arial" w:hAnsi="Arial" w:cs="Arial"/>
        </w:rPr>
        <w:t>(3)  One representative of an environmental advocacy organization;</w:t>
      </w:r>
    </w:p>
    <w:p w:rsidR="003C4DE7" w:rsidP="003C4DE7">
      <w:pPr>
        <w:ind w:left="1080"/>
        <w:rPr>
          <w:rFonts w:ascii="Arial" w:eastAsia="Arial" w:hAnsi="Arial" w:cs="Arial"/>
        </w:rPr>
      </w:pPr>
      <w:bookmarkStart w:id="70" w:name="_PAR__3_c9d11a7c_1aa1_40ea_bdbc_85902148"/>
      <w:bookmarkEnd w:id="69"/>
      <w:r>
        <w:rPr>
          <w:rFonts w:ascii="Arial" w:eastAsia="Arial" w:hAnsi="Arial" w:cs="Arial"/>
        </w:rPr>
        <w:t>(4)  One representative of a labor organization; and</w:t>
      </w:r>
    </w:p>
    <w:p w:rsidR="003C4DE7" w:rsidP="003C4DE7">
      <w:pPr>
        <w:ind w:left="1080"/>
        <w:rPr>
          <w:rFonts w:ascii="Arial" w:eastAsia="Arial" w:hAnsi="Arial" w:cs="Arial"/>
        </w:rPr>
      </w:pPr>
      <w:bookmarkStart w:id="71" w:name="_PAR__4_8fbd157c_e9ff_4c58_94bb_d8b6dc4a"/>
      <w:bookmarkEnd w:id="70"/>
      <w:r>
        <w:rPr>
          <w:rFonts w:ascii="Arial" w:eastAsia="Arial" w:hAnsi="Arial" w:cs="Arial"/>
        </w:rPr>
        <w:t>(5)  One representative with technical expertise in data center design and operation.</w:t>
      </w:r>
    </w:p>
    <w:p w:rsidR="003C4DE7" w:rsidP="003C4DE7">
      <w:pPr>
        <w:ind w:left="360"/>
        <w:rPr>
          <w:rFonts w:ascii="Arial" w:eastAsia="Arial" w:hAnsi="Arial" w:cs="Arial"/>
        </w:rPr>
      </w:pPr>
      <w:bookmarkStart w:id="72" w:name="_PAR__5_917e517f_947c_4aeb_a12e_d0673f95"/>
      <w:bookmarkEnd w:id="71"/>
      <w:r>
        <w:rPr>
          <w:rFonts w:ascii="Arial" w:eastAsia="Arial" w:hAnsi="Arial" w:cs="Arial"/>
        </w:rPr>
        <w:t>The Commissioner of Energy Resources or the commissioner's designee may invite additional agency representatives, experts or stakeholders to provide comment or provide assistance to the council as the commissioner determines appropriate to address technical, economic and environmental factors of data center development.</w:t>
      </w:r>
    </w:p>
    <w:p w:rsidR="003C4DE7" w:rsidP="003C4DE7">
      <w:pPr>
        <w:ind w:left="360" w:firstLine="360"/>
        <w:rPr>
          <w:rFonts w:ascii="Arial" w:eastAsia="Arial" w:hAnsi="Arial" w:cs="Arial"/>
        </w:rPr>
      </w:pPr>
      <w:bookmarkStart w:id="73" w:name="_PAR__6_67ad673f_0f97_488f_8997_89d79bc1"/>
      <w:bookmarkEnd w:id="72"/>
      <w:r>
        <w:rPr>
          <w:rFonts w:ascii="Arial" w:eastAsia="Arial" w:hAnsi="Arial" w:cs="Arial"/>
        </w:rPr>
        <w:t>3.  The council shall hold at least 5 meetings. The council shall provide an opportunity for public comment on the council's draft findings prior to submitting the final strategy report described in subsection 4.</w:t>
      </w:r>
    </w:p>
    <w:p w:rsidR="003C4DE7" w:rsidP="003C4DE7">
      <w:pPr>
        <w:ind w:left="360" w:firstLine="360"/>
        <w:rPr>
          <w:rFonts w:ascii="Arial" w:eastAsia="Arial" w:hAnsi="Arial" w:cs="Arial"/>
        </w:rPr>
      </w:pPr>
      <w:bookmarkStart w:id="74" w:name="_PAR__7_2d916f6e_ddb9_48c2_b8df_512bc1c3"/>
      <w:bookmarkEnd w:id="73"/>
      <w:r>
        <w:rPr>
          <w:rFonts w:ascii="Arial" w:eastAsia="Arial" w:hAnsi="Arial" w:cs="Arial"/>
        </w:rPr>
        <w:t>4.  By February 1, 2027, the council shall submit a final strategy report with the findings of its evaluation and any recommendations, including any proposed legislation, to the Governor and the joint standing committee of the Legislature having jurisdiction over energy matters. The committee may report out a bill related to the report to the 133rd Legislature in 2027.</w:t>
      </w:r>
    </w:p>
    <w:p w:rsidR="003C4DE7" w:rsidP="003C4DE7">
      <w:pPr>
        <w:ind w:left="360" w:firstLine="360"/>
        <w:rPr>
          <w:rFonts w:ascii="Arial" w:eastAsia="Arial" w:hAnsi="Arial" w:cs="Arial"/>
        </w:rPr>
      </w:pPr>
      <w:bookmarkStart w:id="75" w:name="_PAR__8_50524d2b_f753_4ac8_bf4c_165ba060"/>
      <w:bookmarkEnd w:id="74"/>
      <w:r>
        <w:rPr>
          <w:rFonts w:ascii="Arial" w:eastAsia="Arial" w:hAnsi="Arial" w:cs="Arial"/>
          <w:b/>
          <w:sz w:val="24"/>
        </w:rPr>
        <w:t>Sec. 3.  Appropriations and allocations.</w:t>
      </w:r>
      <w:r>
        <w:rPr>
          <w:rFonts w:ascii="Arial" w:eastAsia="Arial" w:hAnsi="Arial" w:cs="Arial"/>
        </w:rPr>
        <w:t>  The following appropriations and allocations are made.</w:t>
      </w:r>
    </w:p>
    <w:p w:rsidR="003C4DE7" w:rsidP="003C4DE7">
      <w:pPr>
        <w:pStyle w:val="BPSParagraphLeftAlign"/>
        <w:suppressAutoHyphens/>
        <w:ind w:left="360"/>
        <w:rPr>
          <w:rFonts w:ascii="Arial" w:eastAsia="Arial" w:hAnsi="Arial" w:cs="Arial"/>
        </w:rPr>
      </w:pPr>
      <w:bookmarkStart w:id="76" w:name="_PAR__9_e9187cb7_bd1d_46f7_b37b_8fd4dfb6"/>
      <w:bookmarkEnd w:id="75"/>
      <w:r>
        <w:rPr>
          <w:rFonts w:ascii="Arial" w:eastAsia="Arial" w:hAnsi="Arial" w:cs="Arial"/>
          <w:b/>
        </w:rPr>
        <w:t>ENERGY RESOURCES, DEPARTMENT OF</w:t>
      </w:r>
    </w:p>
    <w:p w:rsidR="003C4DE7" w:rsidP="003C4DE7">
      <w:pPr>
        <w:pStyle w:val="BPSParagraphLeftAlign"/>
        <w:suppressAutoHyphens/>
        <w:ind w:left="360"/>
        <w:rPr>
          <w:rFonts w:ascii="Arial" w:eastAsia="Arial" w:hAnsi="Arial" w:cs="Arial"/>
        </w:rPr>
      </w:pPr>
      <w:bookmarkStart w:id="77" w:name="_PAR__10_47ca21fa_7a34_4d59_b17a_5224781"/>
      <w:bookmarkEnd w:id="76"/>
      <w:r>
        <w:rPr>
          <w:rFonts w:ascii="Arial" w:eastAsia="Arial" w:hAnsi="Arial" w:cs="Arial"/>
          <w:b/>
        </w:rPr>
        <w:t>Department of Energy Resources Z424</w:t>
      </w:r>
    </w:p>
    <w:p w:rsidR="003C4DE7" w:rsidP="003C4DE7">
      <w:pPr>
        <w:ind w:left="360"/>
        <w:rPr>
          <w:rFonts w:ascii="Arial" w:eastAsia="Arial" w:hAnsi="Arial" w:cs="Arial"/>
        </w:rPr>
      </w:pPr>
      <w:bookmarkStart w:id="78" w:name="_PAR__11_7cf05f11_64a4_4918_b7fa_3515ed6"/>
      <w:bookmarkEnd w:id="77"/>
      <w:r>
        <w:rPr>
          <w:rFonts w:ascii="Arial" w:eastAsia="Arial" w:hAnsi="Arial" w:cs="Arial"/>
        </w:rPr>
        <w:t>Initiative: Provides one-time funding for contracted technical and facilitation support for the Maine Data Center Coordination Council.</w:t>
      </w:r>
    </w:p>
    <w:tbl>
      <w:tblPr>
        <w:tblStyle w:val="BPSTable"/>
        <w:tblW w:w="0" w:type="auto"/>
        <w:tblInd w:w="360" w:type="dxa"/>
        <w:tblCellMar>
          <w:left w:w="0" w:type="dxa"/>
          <w:right w:w="0" w:type="dxa"/>
        </w:tblCellMar>
        <w:tblLook w:val="04A0"/>
      </w:tblPr>
      <w:tblGrid>
        <w:gridCol w:w="5009"/>
        <w:gridCol w:w="1463"/>
        <w:gridCol w:w="1463"/>
      </w:tblGrid>
      <w:tr w:rsidTr="00BA0050">
        <w:tblPrEx>
          <w:tblW w:w="0" w:type="auto"/>
          <w:tblInd w:w="360" w:type="dxa"/>
          <w:tblCellMar>
            <w:left w:w="0" w:type="dxa"/>
            <w:right w:w="0" w:type="dxa"/>
          </w:tblCellMar>
          <w:tblLook w:val="04A0"/>
        </w:tblPrEx>
        <w:tc>
          <w:tcPr>
            <w:tcW w:w="5069" w:type="dxa"/>
          </w:tcPr>
          <w:p w:rsidR="003C4DE7" w:rsidP="00BA0050">
            <w:pPr>
              <w:spacing w:before="0" w:after="0"/>
              <w:rPr>
                <w:rFonts w:ascii="Arial" w:eastAsia="Arial" w:hAnsi="Arial" w:cs="Arial"/>
              </w:rPr>
            </w:pPr>
            <w:bookmarkStart w:id="79" w:name="_PAR__12_3f5a872c_ba68_4c14_abb2_ded45c6"/>
            <w:bookmarkStart w:id="80" w:name="_LINE__22_672bde4d_3fae_4d2a_a0e1_924e85"/>
            <w:bookmarkEnd w:id="78"/>
            <w:r>
              <w:rPr>
                <w:rFonts w:ascii="Arial" w:eastAsia="Arial" w:hAnsi="Arial" w:cs="Arial"/>
                <w:b/>
              </w:rPr>
              <w:t>GENERAL FUND</w:t>
            </w:r>
            <w:bookmarkEnd w:id="80"/>
          </w:p>
        </w:tc>
        <w:tc>
          <w:tcPr>
            <w:tcW w:w="1469" w:type="dxa"/>
          </w:tcPr>
          <w:p w:rsidR="003C4DE7" w:rsidP="00BA0050">
            <w:pPr>
              <w:spacing w:before="0" w:after="0"/>
              <w:jc w:val="right"/>
              <w:rPr>
                <w:rFonts w:ascii="Arial" w:eastAsia="Arial" w:hAnsi="Arial" w:cs="Arial"/>
              </w:rPr>
            </w:pPr>
            <w:bookmarkStart w:id="81" w:name="_LINE__22_50859e5c_16bc_4ded_8e90_0d5123"/>
            <w:r>
              <w:rPr>
                <w:rFonts w:ascii="Arial" w:eastAsia="Arial" w:hAnsi="Arial" w:cs="Arial"/>
                <w:b/>
              </w:rPr>
              <w:t>2025-26</w:t>
            </w:r>
            <w:bookmarkEnd w:id="81"/>
          </w:p>
        </w:tc>
        <w:tc>
          <w:tcPr>
            <w:tcW w:w="1469" w:type="dxa"/>
          </w:tcPr>
          <w:p w:rsidR="003C4DE7" w:rsidP="00BA0050">
            <w:pPr>
              <w:spacing w:before="0" w:after="0"/>
              <w:jc w:val="right"/>
              <w:rPr>
                <w:rFonts w:ascii="Arial" w:eastAsia="Arial" w:hAnsi="Arial" w:cs="Arial"/>
              </w:rPr>
            </w:pPr>
            <w:bookmarkStart w:id="82" w:name="_LINE__22_d036390a_560a_47cb_b79b_56981c"/>
            <w:r>
              <w:rPr>
                <w:rFonts w:ascii="Arial" w:eastAsia="Arial" w:hAnsi="Arial" w:cs="Arial"/>
                <w:b/>
              </w:rPr>
              <w:t>2026-27</w:t>
            </w:r>
            <w:bookmarkEnd w:id="82"/>
          </w:p>
        </w:tc>
      </w:tr>
      <w:tr w:rsidTr="00BA0050">
        <w:tblPrEx>
          <w:tblW w:w="0" w:type="auto"/>
          <w:tblInd w:w="360" w:type="dxa"/>
          <w:tblCellMar>
            <w:left w:w="0" w:type="dxa"/>
            <w:right w:w="0" w:type="dxa"/>
          </w:tblCellMar>
          <w:tblLook w:val="04A0"/>
        </w:tblPrEx>
        <w:tc>
          <w:tcPr>
            <w:tcW w:w="5069" w:type="dxa"/>
          </w:tcPr>
          <w:p w:rsidR="003C4DE7" w:rsidP="00BA0050">
            <w:pPr>
              <w:spacing w:before="0" w:after="0"/>
              <w:ind w:left="180"/>
              <w:rPr>
                <w:rFonts w:ascii="Arial" w:eastAsia="Arial" w:hAnsi="Arial" w:cs="Arial"/>
              </w:rPr>
            </w:pPr>
            <w:bookmarkStart w:id="83" w:name="_LINE__23_32183b15_ef6c_4151_9f9a_74fd53"/>
            <w:r>
              <w:rPr>
                <w:rFonts w:ascii="Arial" w:eastAsia="Arial" w:hAnsi="Arial" w:cs="Arial"/>
              </w:rPr>
              <w:t>All Other</w:t>
            </w:r>
            <w:bookmarkEnd w:id="83"/>
          </w:p>
        </w:tc>
        <w:tc>
          <w:tcPr>
            <w:tcW w:w="1469" w:type="dxa"/>
          </w:tcPr>
          <w:p w:rsidR="003C4DE7" w:rsidP="00BA0050">
            <w:pPr>
              <w:spacing w:before="0" w:after="0"/>
              <w:jc w:val="right"/>
              <w:rPr>
                <w:rFonts w:ascii="Arial" w:eastAsia="Arial" w:hAnsi="Arial" w:cs="Arial"/>
              </w:rPr>
            </w:pPr>
            <w:bookmarkStart w:id="84" w:name="_LINE__23_3a3740a9_30ed_45ff_aac2_76e9e8"/>
            <w:r>
              <w:rPr>
                <w:rFonts w:ascii="Arial" w:eastAsia="Arial" w:hAnsi="Arial" w:cs="Arial"/>
              </w:rPr>
              <w:t>$0</w:t>
            </w:r>
            <w:bookmarkEnd w:id="84"/>
          </w:p>
        </w:tc>
        <w:tc>
          <w:tcPr>
            <w:tcW w:w="1469" w:type="dxa"/>
          </w:tcPr>
          <w:p w:rsidR="003C4DE7" w:rsidP="00BA0050">
            <w:pPr>
              <w:spacing w:before="0" w:after="0"/>
              <w:jc w:val="right"/>
              <w:rPr>
                <w:rFonts w:ascii="Arial" w:eastAsia="Arial" w:hAnsi="Arial" w:cs="Arial"/>
              </w:rPr>
            </w:pPr>
            <w:bookmarkStart w:id="85" w:name="_LINE__23_65c4dbb4_6a4a_4290_882b_bd8960"/>
            <w:r>
              <w:rPr>
                <w:rFonts w:ascii="Arial" w:eastAsia="Arial" w:hAnsi="Arial" w:cs="Arial"/>
              </w:rPr>
              <w:t>$95,000</w:t>
            </w:r>
            <w:bookmarkEnd w:id="85"/>
          </w:p>
        </w:tc>
      </w:tr>
      <w:tr w:rsidTr="00BA0050">
        <w:tblPrEx>
          <w:tblW w:w="0" w:type="auto"/>
          <w:tblInd w:w="360" w:type="dxa"/>
          <w:tblCellMar>
            <w:left w:w="0" w:type="dxa"/>
            <w:right w:w="0" w:type="dxa"/>
          </w:tblCellMar>
          <w:tblLook w:val="04A0"/>
        </w:tblPrEx>
        <w:tc>
          <w:tcPr>
            <w:tcW w:w="5069" w:type="dxa"/>
          </w:tcPr>
          <w:p w:rsidR="003C4DE7" w:rsidP="00BA0050">
            <w:pPr>
              <w:spacing w:before="0" w:after="0"/>
              <w:rPr>
                <w:rFonts w:ascii="Arial" w:eastAsia="Arial" w:hAnsi="Arial" w:cs="Arial"/>
              </w:rPr>
            </w:pPr>
            <w:bookmarkStart w:id="86" w:name="_LINE__24_ec760a55_961e_4e2f_8445_d2b27c"/>
            <w:r>
              <w:rPr>
                <w:rFonts w:ascii="Arial" w:eastAsia="Arial" w:hAnsi="Arial" w:cs="Arial"/>
              </w:rPr>
              <w:t xml:space="preserve"> </w:t>
            </w:r>
            <w:bookmarkEnd w:id="86"/>
          </w:p>
        </w:tc>
        <w:tc>
          <w:tcPr>
            <w:tcW w:w="1469" w:type="dxa"/>
          </w:tcPr>
          <w:p w:rsidR="003C4DE7" w:rsidP="00BA0050">
            <w:pPr>
              <w:spacing w:before="0" w:after="0"/>
              <w:jc w:val="right"/>
              <w:rPr>
                <w:rFonts w:ascii="Arial" w:eastAsia="Arial" w:hAnsi="Arial" w:cs="Arial"/>
              </w:rPr>
            </w:pPr>
            <w:bookmarkStart w:id="87" w:name="_LINE__24_204fbe58_5934_4378_9881_c7b780"/>
            <w:r>
              <w:rPr>
                <w:rFonts w:ascii="Arial" w:eastAsia="Arial" w:hAnsi="Arial" w:cs="Arial"/>
              </w:rPr>
              <w:t>__________</w:t>
            </w:r>
            <w:bookmarkEnd w:id="87"/>
          </w:p>
        </w:tc>
        <w:tc>
          <w:tcPr>
            <w:tcW w:w="1469" w:type="dxa"/>
          </w:tcPr>
          <w:p w:rsidR="003C4DE7" w:rsidP="00BA0050">
            <w:pPr>
              <w:spacing w:before="0" w:after="0"/>
              <w:jc w:val="right"/>
              <w:rPr>
                <w:rFonts w:ascii="Arial" w:eastAsia="Arial" w:hAnsi="Arial" w:cs="Arial"/>
              </w:rPr>
            </w:pPr>
            <w:bookmarkStart w:id="88" w:name="_LINE__24_32090837_410b_4570_b991_834a4c"/>
            <w:r>
              <w:rPr>
                <w:rFonts w:ascii="Arial" w:eastAsia="Arial" w:hAnsi="Arial" w:cs="Arial"/>
              </w:rPr>
              <w:t>__________</w:t>
            </w:r>
            <w:bookmarkEnd w:id="88"/>
          </w:p>
        </w:tc>
      </w:tr>
      <w:tr w:rsidTr="00BA0050">
        <w:tblPrEx>
          <w:tblW w:w="0" w:type="auto"/>
          <w:tblInd w:w="360" w:type="dxa"/>
          <w:tblCellMar>
            <w:left w:w="0" w:type="dxa"/>
            <w:right w:w="0" w:type="dxa"/>
          </w:tblCellMar>
          <w:tblLook w:val="04A0"/>
        </w:tblPrEx>
        <w:tc>
          <w:tcPr>
            <w:tcW w:w="5069" w:type="dxa"/>
          </w:tcPr>
          <w:p w:rsidR="003C4DE7" w:rsidP="00BA0050">
            <w:pPr>
              <w:spacing w:before="0" w:after="0"/>
              <w:rPr>
                <w:rFonts w:ascii="Arial" w:eastAsia="Arial" w:hAnsi="Arial" w:cs="Arial"/>
              </w:rPr>
            </w:pPr>
            <w:bookmarkStart w:id="89" w:name="_LINE__25_769f5055_b86d_4eb1_90f6_5eedac"/>
            <w:r>
              <w:rPr>
                <w:rFonts w:ascii="Arial" w:eastAsia="Arial" w:hAnsi="Arial" w:cs="Arial"/>
              </w:rPr>
              <w:t>GENERAL FUND TOTAL</w:t>
            </w:r>
            <w:bookmarkEnd w:id="89"/>
          </w:p>
        </w:tc>
        <w:tc>
          <w:tcPr>
            <w:tcW w:w="1469" w:type="dxa"/>
          </w:tcPr>
          <w:p w:rsidR="003C4DE7" w:rsidP="00BA0050">
            <w:pPr>
              <w:spacing w:before="0" w:after="0"/>
              <w:jc w:val="right"/>
              <w:rPr>
                <w:rFonts w:ascii="Arial" w:eastAsia="Arial" w:hAnsi="Arial" w:cs="Arial"/>
              </w:rPr>
            </w:pPr>
            <w:bookmarkStart w:id="90" w:name="_LINE__25_6638c4c7_2f66_4cbe_a2ed_251c54"/>
            <w:r>
              <w:rPr>
                <w:rFonts w:ascii="Arial" w:eastAsia="Arial" w:hAnsi="Arial" w:cs="Arial"/>
              </w:rPr>
              <w:t>$0</w:t>
            </w:r>
            <w:bookmarkEnd w:id="90"/>
          </w:p>
        </w:tc>
        <w:tc>
          <w:tcPr>
            <w:tcW w:w="1469" w:type="dxa"/>
          </w:tcPr>
          <w:p w:rsidR="003C4DE7" w:rsidP="00BA0050">
            <w:pPr>
              <w:spacing w:before="0" w:after="0"/>
              <w:jc w:val="right"/>
              <w:rPr>
                <w:rFonts w:ascii="Arial" w:eastAsia="Arial" w:hAnsi="Arial" w:cs="Arial"/>
              </w:rPr>
            </w:pPr>
            <w:bookmarkStart w:id="91" w:name="_LINE__25_a2407ef5_c064_49d4_9aea_b43b72"/>
            <w:r>
              <w:rPr>
                <w:rFonts w:ascii="Arial" w:eastAsia="Arial" w:hAnsi="Arial" w:cs="Arial"/>
              </w:rPr>
              <w:t>$95,000</w:t>
            </w:r>
            <w:bookmarkEnd w:id="91"/>
          </w:p>
        </w:tc>
      </w:tr>
    </w:tbl>
    <w:p w:rsidR="003C4DE7" w:rsidP="003C4DE7">
      <w:pPr>
        <w:ind w:left="360"/>
        <w:rPr>
          <w:rFonts w:ascii="Arial" w:eastAsia="Arial" w:hAnsi="Arial" w:cs="Arial"/>
        </w:rPr>
      </w:pPr>
      <w:bookmarkStart w:id="92" w:name="_PAR__13_45d738e5_a767_4d02_b967_c9028f0"/>
      <w:bookmarkEnd w:id="79"/>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BA0050">
        <w:tblPrEx>
          <w:tblW w:w="0" w:type="auto"/>
          <w:tblInd w:w="360" w:type="dxa"/>
          <w:tblCellMar>
            <w:left w:w="0" w:type="dxa"/>
            <w:right w:w="0" w:type="dxa"/>
          </w:tblCellMar>
          <w:tblLook w:val="04A0"/>
        </w:tblPrEx>
        <w:tc>
          <w:tcPr>
            <w:tcW w:w="5069" w:type="dxa"/>
          </w:tcPr>
          <w:p w:rsidR="003C4DE7" w:rsidP="00BA0050">
            <w:pPr>
              <w:spacing w:before="0" w:after="0"/>
              <w:rPr>
                <w:rFonts w:ascii="Arial" w:eastAsia="Arial" w:hAnsi="Arial" w:cs="Arial"/>
              </w:rPr>
            </w:pPr>
            <w:bookmarkStart w:id="93" w:name="_PAR__14_62ccc70a_b7a4_4e43_9e0f_7dbae95"/>
            <w:bookmarkStart w:id="94" w:name="_LINE__27_f3630ef3_f76a_42de_bf15_20210c"/>
            <w:bookmarkEnd w:id="92"/>
            <w:r>
              <w:rPr>
                <w:rFonts w:ascii="Arial" w:eastAsia="Arial" w:hAnsi="Arial" w:cs="Arial"/>
                <w:b/>
              </w:rPr>
              <w:t>ENERGY RESOURCES, DEPARTMENT OF</w:t>
            </w:r>
            <w:bookmarkEnd w:id="94"/>
          </w:p>
        </w:tc>
        <w:tc>
          <w:tcPr>
            <w:tcW w:w="1469" w:type="dxa"/>
          </w:tcPr>
          <w:p w:rsidR="003C4DE7" w:rsidP="00BA0050">
            <w:pPr>
              <w:spacing w:before="0" w:after="0"/>
              <w:rPr>
                <w:rFonts w:ascii="Arial" w:eastAsia="Arial" w:hAnsi="Arial" w:cs="Arial"/>
              </w:rPr>
            </w:pPr>
            <w:bookmarkStart w:id="95" w:name="_LINE__27_d19d186f_97c3_4e52_8641_33cca3"/>
            <w:r>
              <w:rPr>
                <w:rFonts w:ascii="Arial" w:eastAsia="Arial" w:hAnsi="Arial" w:cs="Arial"/>
              </w:rPr>
              <w:t xml:space="preserve"> </w:t>
            </w:r>
            <w:bookmarkEnd w:id="95"/>
          </w:p>
        </w:tc>
        <w:tc>
          <w:tcPr>
            <w:tcW w:w="1469" w:type="dxa"/>
          </w:tcPr>
          <w:p w:rsidR="003C4DE7" w:rsidP="00BA0050">
            <w:pPr>
              <w:spacing w:before="0" w:after="0"/>
              <w:rPr>
                <w:rFonts w:ascii="Arial" w:eastAsia="Arial" w:hAnsi="Arial" w:cs="Arial"/>
              </w:rPr>
            </w:pPr>
            <w:bookmarkStart w:id="96" w:name="_LINE__27_e38f4f27_3e1d_4ac2_b453_555e8f"/>
            <w:r>
              <w:rPr>
                <w:rFonts w:ascii="Arial" w:eastAsia="Arial" w:hAnsi="Arial" w:cs="Arial"/>
              </w:rPr>
              <w:t xml:space="preserve"> </w:t>
            </w:r>
            <w:bookmarkEnd w:id="96"/>
          </w:p>
        </w:tc>
      </w:tr>
      <w:tr w:rsidTr="00BA0050">
        <w:tblPrEx>
          <w:tblW w:w="0" w:type="auto"/>
          <w:tblInd w:w="360" w:type="dxa"/>
          <w:tblCellMar>
            <w:left w:w="0" w:type="dxa"/>
            <w:right w:w="0" w:type="dxa"/>
          </w:tblCellMar>
          <w:tblLook w:val="04A0"/>
        </w:tblPrEx>
        <w:tc>
          <w:tcPr>
            <w:tcW w:w="5069" w:type="dxa"/>
          </w:tcPr>
          <w:p w:rsidR="003C4DE7" w:rsidP="00BA0050">
            <w:pPr>
              <w:spacing w:before="0" w:after="0"/>
              <w:rPr>
                <w:rFonts w:ascii="Arial" w:eastAsia="Arial" w:hAnsi="Arial" w:cs="Arial"/>
              </w:rPr>
            </w:pPr>
            <w:bookmarkStart w:id="97" w:name="_LINE__28_284ee76e_9843_49d5_aeb8_afebc4"/>
            <w:r>
              <w:rPr>
                <w:rFonts w:ascii="Arial" w:eastAsia="Arial" w:hAnsi="Arial" w:cs="Arial"/>
                <w:b/>
              </w:rPr>
              <w:t>DEPARTMENT TOTALS</w:t>
            </w:r>
            <w:bookmarkEnd w:id="97"/>
          </w:p>
        </w:tc>
        <w:tc>
          <w:tcPr>
            <w:tcW w:w="1469" w:type="dxa"/>
          </w:tcPr>
          <w:p w:rsidR="003C4DE7" w:rsidP="00BA0050">
            <w:pPr>
              <w:spacing w:before="0" w:after="0"/>
              <w:jc w:val="right"/>
              <w:rPr>
                <w:rFonts w:ascii="Arial" w:eastAsia="Arial" w:hAnsi="Arial" w:cs="Arial"/>
              </w:rPr>
            </w:pPr>
            <w:bookmarkStart w:id="98" w:name="_LINE__28_f2407a08_6a92_4de9_a20d_38e03f"/>
            <w:r>
              <w:rPr>
                <w:rFonts w:ascii="Arial" w:eastAsia="Arial" w:hAnsi="Arial" w:cs="Arial"/>
                <w:b/>
              </w:rPr>
              <w:t>2025-26</w:t>
            </w:r>
            <w:bookmarkEnd w:id="98"/>
          </w:p>
        </w:tc>
        <w:tc>
          <w:tcPr>
            <w:tcW w:w="1469" w:type="dxa"/>
          </w:tcPr>
          <w:p w:rsidR="003C4DE7" w:rsidP="00BA0050">
            <w:pPr>
              <w:spacing w:before="0" w:after="0"/>
              <w:jc w:val="right"/>
              <w:rPr>
                <w:rFonts w:ascii="Arial" w:eastAsia="Arial" w:hAnsi="Arial" w:cs="Arial"/>
              </w:rPr>
            </w:pPr>
            <w:bookmarkStart w:id="99" w:name="_LINE__28_8c10adb4_3860_411e_b9c3_ab41ff"/>
            <w:r>
              <w:rPr>
                <w:rFonts w:ascii="Arial" w:eastAsia="Arial" w:hAnsi="Arial" w:cs="Arial"/>
                <w:b/>
              </w:rPr>
              <w:t>2026-27</w:t>
            </w:r>
            <w:bookmarkEnd w:id="99"/>
          </w:p>
        </w:tc>
      </w:tr>
      <w:tr w:rsidTr="00BA0050">
        <w:tblPrEx>
          <w:tblW w:w="0" w:type="auto"/>
          <w:tblInd w:w="360" w:type="dxa"/>
          <w:tblCellMar>
            <w:left w:w="0" w:type="dxa"/>
            <w:right w:w="0" w:type="dxa"/>
          </w:tblCellMar>
          <w:tblLook w:val="04A0"/>
        </w:tblPrEx>
        <w:tc>
          <w:tcPr>
            <w:tcW w:w="5069" w:type="dxa"/>
          </w:tcPr>
          <w:p w:rsidR="003C4DE7" w:rsidP="00BA0050">
            <w:pPr>
              <w:spacing w:before="0" w:after="0"/>
              <w:rPr>
                <w:rFonts w:ascii="Arial" w:eastAsia="Arial" w:hAnsi="Arial" w:cs="Arial"/>
              </w:rPr>
            </w:pPr>
            <w:bookmarkStart w:id="100" w:name="_LINE__29_e878d9b0_76e5_4d69_8405_b5ed15"/>
            <w:r>
              <w:rPr>
                <w:rFonts w:ascii="Arial" w:eastAsia="Arial" w:hAnsi="Arial" w:cs="Arial"/>
              </w:rPr>
              <w:t xml:space="preserve"> </w:t>
            </w:r>
            <w:bookmarkEnd w:id="100"/>
          </w:p>
        </w:tc>
        <w:tc>
          <w:tcPr>
            <w:tcW w:w="1469" w:type="dxa"/>
          </w:tcPr>
          <w:p w:rsidR="003C4DE7" w:rsidP="00BA0050">
            <w:pPr>
              <w:spacing w:before="0" w:after="0"/>
              <w:rPr>
                <w:rFonts w:ascii="Arial" w:eastAsia="Arial" w:hAnsi="Arial" w:cs="Arial"/>
              </w:rPr>
            </w:pPr>
            <w:bookmarkStart w:id="101" w:name="_LINE__29_a874c490_2fce_4e5b_9ecd_37d830"/>
            <w:r>
              <w:rPr>
                <w:rFonts w:ascii="Arial" w:eastAsia="Arial" w:hAnsi="Arial" w:cs="Arial"/>
              </w:rPr>
              <w:t xml:space="preserve"> </w:t>
            </w:r>
            <w:bookmarkEnd w:id="101"/>
          </w:p>
        </w:tc>
        <w:tc>
          <w:tcPr>
            <w:tcW w:w="1469" w:type="dxa"/>
          </w:tcPr>
          <w:p w:rsidR="003C4DE7" w:rsidP="00BA0050">
            <w:pPr>
              <w:spacing w:before="0" w:after="0"/>
              <w:rPr>
                <w:rFonts w:ascii="Arial" w:eastAsia="Arial" w:hAnsi="Arial" w:cs="Arial"/>
              </w:rPr>
            </w:pPr>
            <w:bookmarkStart w:id="102" w:name="_LINE__29_7687de20_5589_46cf_8018_194b6b"/>
            <w:r>
              <w:rPr>
                <w:rFonts w:ascii="Arial" w:eastAsia="Arial" w:hAnsi="Arial" w:cs="Arial"/>
              </w:rPr>
              <w:t xml:space="preserve"> </w:t>
            </w:r>
            <w:bookmarkEnd w:id="102"/>
          </w:p>
        </w:tc>
      </w:tr>
      <w:tr w:rsidTr="00BA0050">
        <w:tblPrEx>
          <w:tblW w:w="0" w:type="auto"/>
          <w:tblInd w:w="360" w:type="dxa"/>
          <w:tblCellMar>
            <w:left w:w="0" w:type="dxa"/>
            <w:right w:w="0" w:type="dxa"/>
          </w:tblCellMar>
          <w:tblLook w:val="04A0"/>
        </w:tblPrEx>
        <w:tc>
          <w:tcPr>
            <w:tcW w:w="5069" w:type="dxa"/>
          </w:tcPr>
          <w:p w:rsidR="003C4DE7" w:rsidP="00BA0050">
            <w:pPr>
              <w:spacing w:before="0" w:after="0"/>
              <w:ind w:left="180"/>
              <w:rPr>
                <w:rFonts w:ascii="Arial" w:eastAsia="Arial" w:hAnsi="Arial" w:cs="Arial"/>
              </w:rPr>
            </w:pPr>
            <w:bookmarkStart w:id="103" w:name="_LINE__30_0453a65e_4fb3_41f2_953e_edd5af"/>
            <w:r>
              <w:rPr>
                <w:rFonts w:ascii="Arial" w:eastAsia="Arial" w:hAnsi="Arial" w:cs="Arial"/>
                <w:b/>
              </w:rPr>
              <w:t>GENERAL FUND</w:t>
            </w:r>
            <w:bookmarkEnd w:id="103"/>
          </w:p>
        </w:tc>
        <w:tc>
          <w:tcPr>
            <w:tcW w:w="1469" w:type="dxa"/>
          </w:tcPr>
          <w:p w:rsidR="003C4DE7" w:rsidP="00BA0050">
            <w:pPr>
              <w:spacing w:before="0" w:after="0"/>
              <w:jc w:val="right"/>
              <w:rPr>
                <w:rFonts w:ascii="Arial" w:eastAsia="Arial" w:hAnsi="Arial" w:cs="Arial"/>
              </w:rPr>
            </w:pPr>
            <w:bookmarkStart w:id="104" w:name="_LINE__30_d1405a61_e4be_45b3_9a83_be745b"/>
            <w:r>
              <w:rPr>
                <w:rFonts w:ascii="Arial" w:eastAsia="Arial" w:hAnsi="Arial" w:cs="Arial"/>
                <w:b/>
              </w:rPr>
              <w:t>$0</w:t>
            </w:r>
            <w:bookmarkEnd w:id="104"/>
          </w:p>
        </w:tc>
        <w:tc>
          <w:tcPr>
            <w:tcW w:w="1469" w:type="dxa"/>
          </w:tcPr>
          <w:p w:rsidR="003C4DE7" w:rsidP="00BA0050">
            <w:pPr>
              <w:spacing w:before="0" w:after="0"/>
              <w:jc w:val="right"/>
              <w:rPr>
                <w:rFonts w:ascii="Arial" w:eastAsia="Arial" w:hAnsi="Arial" w:cs="Arial"/>
              </w:rPr>
            </w:pPr>
            <w:bookmarkStart w:id="105" w:name="_LINE__30_844c1e56_fcee_405d_b034_144bba"/>
            <w:r>
              <w:rPr>
                <w:rFonts w:ascii="Arial" w:eastAsia="Arial" w:hAnsi="Arial" w:cs="Arial"/>
                <w:b/>
              </w:rPr>
              <w:t>$95,000</w:t>
            </w:r>
            <w:bookmarkEnd w:id="105"/>
          </w:p>
        </w:tc>
      </w:tr>
      <w:tr w:rsidTr="00BA0050">
        <w:tblPrEx>
          <w:tblW w:w="0" w:type="auto"/>
          <w:tblInd w:w="360" w:type="dxa"/>
          <w:tblCellMar>
            <w:left w:w="0" w:type="dxa"/>
            <w:right w:w="0" w:type="dxa"/>
          </w:tblCellMar>
          <w:tblLook w:val="04A0"/>
        </w:tblPrEx>
        <w:tc>
          <w:tcPr>
            <w:tcW w:w="5069" w:type="dxa"/>
          </w:tcPr>
          <w:p w:rsidR="003C4DE7" w:rsidP="00BA0050">
            <w:pPr>
              <w:spacing w:before="0" w:after="0"/>
              <w:rPr>
                <w:rFonts w:ascii="Arial" w:eastAsia="Arial" w:hAnsi="Arial" w:cs="Arial"/>
              </w:rPr>
            </w:pPr>
            <w:bookmarkStart w:id="106" w:name="_LINE__31_35f21d83_0208_43f9_952b_9196b0"/>
            <w:r>
              <w:rPr>
                <w:rFonts w:ascii="Arial" w:eastAsia="Arial" w:hAnsi="Arial" w:cs="Arial"/>
              </w:rPr>
              <w:t xml:space="preserve"> </w:t>
            </w:r>
            <w:bookmarkEnd w:id="106"/>
          </w:p>
        </w:tc>
        <w:tc>
          <w:tcPr>
            <w:tcW w:w="1469" w:type="dxa"/>
          </w:tcPr>
          <w:p w:rsidR="003C4DE7" w:rsidP="00BA0050">
            <w:pPr>
              <w:spacing w:before="0" w:after="0"/>
              <w:jc w:val="right"/>
              <w:rPr>
                <w:rFonts w:ascii="Arial" w:eastAsia="Arial" w:hAnsi="Arial" w:cs="Arial"/>
              </w:rPr>
            </w:pPr>
            <w:bookmarkStart w:id="107" w:name="_LINE__31_5c24011c_5329_4fcf_a8fe_a14d26"/>
            <w:r>
              <w:rPr>
                <w:rFonts w:ascii="Arial" w:eastAsia="Arial" w:hAnsi="Arial" w:cs="Arial"/>
              </w:rPr>
              <w:t>__________</w:t>
            </w:r>
            <w:bookmarkEnd w:id="107"/>
          </w:p>
        </w:tc>
        <w:tc>
          <w:tcPr>
            <w:tcW w:w="1469" w:type="dxa"/>
          </w:tcPr>
          <w:p w:rsidR="003C4DE7" w:rsidP="00BA0050">
            <w:pPr>
              <w:spacing w:before="0" w:after="0"/>
              <w:jc w:val="right"/>
              <w:rPr>
                <w:rFonts w:ascii="Arial" w:eastAsia="Arial" w:hAnsi="Arial" w:cs="Arial"/>
              </w:rPr>
            </w:pPr>
            <w:bookmarkStart w:id="108" w:name="_LINE__31_c4cd1ced_6111_4d93_8c00_f0b0a6"/>
            <w:r>
              <w:rPr>
                <w:rFonts w:ascii="Arial" w:eastAsia="Arial" w:hAnsi="Arial" w:cs="Arial"/>
              </w:rPr>
              <w:t>__________</w:t>
            </w:r>
            <w:bookmarkEnd w:id="108"/>
          </w:p>
        </w:tc>
      </w:tr>
      <w:tr w:rsidTr="00BA0050">
        <w:tblPrEx>
          <w:tblW w:w="0" w:type="auto"/>
          <w:tblInd w:w="360" w:type="dxa"/>
          <w:tblCellMar>
            <w:left w:w="0" w:type="dxa"/>
            <w:right w:w="0" w:type="dxa"/>
          </w:tblCellMar>
          <w:tblLook w:val="04A0"/>
        </w:tblPrEx>
        <w:tc>
          <w:tcPr>
            <w:tcW w:w="5069" w:type="dxa"/>
          </w:tcPr>
          <w:p w:rsidR="003C4DE7" w:rsidP="00BA0050">
            <w:pPr>
              <w:spacing w:before="0" w:after="0"/>
              <w:rPr>
                <w:rFonts w:ascii="Arial" w:eastAsia="Arial" w:hAnsi="Arial" w:cs="Arial"/>
              </w:rPr>
            </w:pPr>
            <w:bookmarkStart w:id="109" w:name="_LINE__32_4729c56a_8d1f_461a_a0f7_f74368"/>
            <w:r>
              <w:rPr>
                <w:rFonts w:ascii="Arial" w:eastAsia="Arial" w:hAnsi="Arial" w:cs="Arial"/>
                <w:b/>
              </w:rPr>
              <w:t>DEPARTMENT TOTAL - ALL FUNDS</w:t>
            </w:r>
            <w:bookmarkEnd w:id="109"/>
          </w:p>
        </w:tc>
        <w:tc>
          <w:tcPr>
            <w:tcW w:w="1469" w:type="dxa"/>
          </w:tcPr>
          <w:p w:rsidR="003C4DE7" w:rsidP="00BA0050">
            <w:pPr>
              <w:spacing w:before="0" w:after="0"/>
              <w:jc w:val="right"/>
              <w:rPr>
                <w:rFonts w:ascii="Arial" w:eastAsia="Arial" w:hAnsi="Arial" w:cs="Arial"/>
              </w:rPr>
            </w:pPr>
            <w:bookmarkStart w:id="110" w:name="_LINE__32_4283a83a_6ac4_4c30_ae70_45088e"/>
            <w:r>
              <w:rPr>
                <w:rFonts w:ascii="Arial" w:eastAsia="Arial" w:hAnsi="Arial" w:cs="Arial"/>
                <w:b/>
              </w:rPr>
              <w:t>$0</w:t>
            </w:r>
            <w:bookmarkEnd w:id="110"/>
          </w:p>
        </w:tc>
        <w:tc>
          <w:tcPr>
            <w:tcW w:w="1469" w:type="dxa"/>
          </w:tcPr>
          <w:p w:rsidR="003C4DE7" w:rsidP="00BA0050">
            <w:pPr>
              <w:spacing w:before="0" w:after="0"/>
              <w:jc w:val="right"/>
              <w:rPr>
                <w:rFonts w:ascii="Arial" w:eastAsia="Arial" w:hAnsi="Arial" w:cs="Arial"/>
              </w:rPr>
            </w:pPr>
            <w:bookmarkStart w:id="111" w:name="_LINE__32_9b59be28_0f60_421f_9244_f8660d"/>
            <w:r>
              <w:rPr>
                <w:rFonts w:ascii="Arial" w:eastAsia="Arial" w:hAnsi="Arial" w:cs="Arial"/>
                <w:b/>
              </w:rPr>
              <w:t>$95,000</w:t>
            </w:r>
            <w:bookmarkEnd w:id="111"/>
          </w:p>
        </w:tc>
      </w:tr>
    </w:tbl>
    <w:p w:rsidR="003C4DE7" w:rsidP="003C4DE7">
      <w:pPr>
        <w:pStyle w:val="BPSParagraphLeftAlign"/>
        <w:suppressAutoHyphens/>
        <w:ind w:left="360"/>
        <w:rPr>
          <w:rFonts w:ascii="Arial" w:eastAsia="Arial" w:hAnsi="Arial" w:cs="Arial"/>
        </w:rPr>
      </w:pPr>
      <w:bookmarkStart w:id="112" w:name="_PAR__15_cc1174f4_dac3_463f_ac23_4fce467"/>
      <w:bookmarkEnd w:id="93"/>
      <w:r>
        <w:rPr>
          <w:rFonts w:ascii="Arial" w:eastAsia="Arial" w:hAnsi="Arial" w:cs="Arial"/>
          <w:b/>
        </w:rPr>
        <w:t>PUBLIC UTILITIES COMMISSION</w:t>
      </w:r>
    </w:p>
    <w:p w:rsidR="003C4DE7" w:rsidP="003C4DE7">
      <w:pPr>
        <w:pStyle w:val="BPSParagraphLeftAlign"/>
        <w:suppressAutoHyphens/>
        <w:ind w:left="360"/>
        <w:rPr>
          <w:rFonts w:ascii="Arial" w:eastAsia="Arial" w:hAnsi="Arial" w:cs="Arial"/>
        </w:rPr>
      </w:pPr>
      <w:bookmarkStart w:id="113" w:name="_PAR__16_cee7c6b2_d5bd_4013_84cb_29361af"/>
      <w:bookmarkEnd w:id="112"/>
      <w:r>
        <w:rPr>
          <w:rFonts w:ascii="Arial" w:eastAsia="Arial" w:hAnsi="Arial" w:cs="Arial"/>
          <w:b/>
        </w:rPr>
        <w:t>Public Utilities - Administrative Division 0184</w:t>
      </w:r>
    </w:p>
    <w:p w:rsidR="003C4DE7" w:rsidP="003C4DE7">
      <w:pPr>
        <w:ind w:left="360"/>
        <w:rPr>
          <w:rFonts w:ascii="Arial" w:eastAsia="Arial" w:hAnsi="Arial" w:cs="Arial"/>
        </w:rPr>
      </w:pPr>
      <w:bookmarkStart w:id="114" w:name="_PAR__17_ff1d8d6b_68c0_4ee2_ab69_c7f0c20"/>
      <w:bookmarkEnd w:id="113"/>
      <w:r>
        <w:rPr>
          <w:rFonts w:ascii="Arial" w:eastAsia="Arial" w:hAnsi="Arial" w:cs="Arial"/>
        </w:rPr>
        <w:t>Initiative: Provides one-time funding for contracted consulting services.</w:t>
      </w:r>
    </w:p>
    <w:tbl>
      <w:tblPr>
        <w:tblStyle w:val="BPSTable"/>
        <w:tblW w:w="0" w:type="auto"/>
        <w:tblInd w:w="360" w:type="dxa"/>
        <w:tblCellMar>
          <w:left w:w="0" w:type="dxa"/>
          <w:right w:w="0" w:type="dxa"/>
        </w:tblCellMar>
        <w:tblLook w:val="04A0"/>
      </w:tblPr>
      <w:tblGrid>
        <w:gridCol w:w="5009"/>
        <w:gridCol w:w="1463"/>
        <w:gridCol w:w="1463"/>
      </w:tblGrid>
      <w:tr w:rsidTr="00BA0050">
        <w:tblPrEx>
          <w:tblW w:w="0" w:type="auto"/>
          <w:tblInd w:w="360" w:type="dxa"/>
          <w:tblCellMar>
            <w:left w:w="0" w:type="dxa"/>
            <w:right w:w="0" w:type="dxa"/>
          </w:tblCellMar>
          <w:tblLook w:val="04A0"/>
        </w:tblPrEx>
        <w:tc>
          <w:tcPr>
            <w:tcW w:w="5069" w:type="dxa"/>
          </w:tcPr>
          <w:p w:rsidR="003C4DE7" w:rsidP="00BA0050">
            <w:pPr>
              <w:spacing w:before="0" w:after="0"/>
              <w:rPr>
                <w:rFonts w:ascii="Arial" w:eastAsia="Arial" w:hAnsi="Arial" w:cs="Arial"/>
              </w:rPr>
            </w:pPr>
            <w:bookmarkStart w:id="115" w:name="_PAR__18_48fb5c59_27dc_4168_abb1_86eba6f"/>
            <w:bookmarkStart w:id="116" w:name="_LINE__36_4b2b75a6_d29b_4362_9ed1_54180f"/>
            <w:bookmarkEnd w:id="114"/>
            <w:r>
              <w:rPr>
                <w:rFonts w:ascii="Arial" w:eastAsia="Arial" w:hAnsi="Arial" w:cs="Arial"/>
                <w:b/>
              </w:rPr>
              <w:t>OTHER SPECIAL REVENUE FUNDS</w:t>
            </w:r>
            <w:bookmarkEnd w:id="116"/>
          </w:p>
        </w:tc>
        <w:tc>
          <w:tcPr>
            <w:tcW w:w="1469" w:type="dxa"/>
          </w:tcPr>
          <w:p w:rsidR="003C4DE7" w:rsidP="00BA0050">
            <w:pPr>
              <w:spacing w:before="0" w:after="0"/>
              <w:jc w:val="right"/>
              <w:rPr>
                <w:rFonts w:ascii="Arial" w:eastAsia="Arial" w:hAnsi="Arial" w:cs="Arial"/>
              </w:rPr>
            </w:pPr>
            <w:bookmarkStart w:id="117" w:name="_LINE__36_4e10d37d_be9b_407a_8695_3b7c22"/>
            <w:r>
              <w:rPr>
                <w:rFonts w:ascii="Arial" w:eastAsia="Arial" w:hAnsi="Arial" w:cs="Arial"/>
                <w:b/>
              </w:rPr>
              <w:t>2025-26</w:t>
            </w:r>
            <w:bookmarkEnd w:id="117"/>
          </w:p>
        </w:tc>
        <w:tc>
          <w:tcPr>
            <w:tcW w:w="1469" w:type="dxa"/>
          </w:tcPr>
          <w:p w:rsidR="003C4DE7" w:rsidP="00BA0050">
            <w:pPr>
              <w:spacing w:before="0" w:after="0"/>
              <w:jc w:val="right"/>
              <w:rPr>
                <w:rFonts w:ascii="Arial" w:eastAsia="Arial" w:hAnsi="Arial" w:cs="Arial"/>
              </w:rPr>
            </w:pPr>
            <w:bookmarkStart w:id="118" w:name="_LINE__36_db7b108a_a59f_469e_b62a_06cda8"/>
            <w:r>
              <w:rPr>
                <w:rFonts w:ascii="Arial" w:eastAsia="Arial" w:hAnsi="Arial" w:cs="Arial"/>
                <w:b/>
              </w:rPr>
              <w:t>2026-27</w:t>
            </w:r>
            <w:bookmarkEnd w:id="118"/>
          </w:p>
        </w:tc>
      </w:tr>
      <w:tr w:rsidTr="00BA0050">
        <w:tblPrEx>
          <w:tblW w:w="0" w:type="auto"/>
          <w:tblInd w:w="360" w:type="dxa"/>
          <w:tblCellMar>
            <w:left w:w="0" w:type="dxa"/>
            <w:right w:w="0" w:type="dxa"/>
          </w:tblCellMar>
          <w:tblLook w:val="04A0"/>
        </w:tblPrEx>
        <w:tc>
          <w:tcPr>
            <w:tcW w:w="5069" w:type="dxa"/>
          </w:tcPr>
          <w:p w:rsidR="003C4DE7" w:rsidP="00BA0050">
            <w:pPr>
              <w:spacing w:before="0" w:after="0"/>
              <w:ind w:left="180"/>
              <w:rPr>
                <w:rFonts w:ascii="Arial" w:eastAsia="Arial" w:hAnsi="Arial" w:cs="Arial"/>
              </w:rPr>
            </w:pPr>
            <w:bookmarkStart w:id="119" w:name="_LINE__37_6cd24759_f2f2_4ccf_9600_24601a"/>
            <w:r>
              <w:rPr>
                <w:rFonts w:ascii="Arial" w:eastAsia="Arial" w:hAnsi="Arial" w:cs="Arial"/>
              </w:rPr>
              <w:t>All Other</w:t>
            </w:r>
            <w:bookmarkEnd w:id="119"/>
          </w:p>
        </w:tc>
        <w:tc>
          <w:tcPr>
            <w:tcW w:w="1469" w:type="dxa"/>
          </w:tcPr>
          <w:p w:rsidR="003C4DE7" w:rsidP="00BA0050">
            <w:pPr>
              <w:spacing w:before="0" w:after="0"/>
              <w:jc w:val="right"/>
              <w:rPr>
                <w:rFonts w:ascii="Arial" w:eastAsia="Arial" w:hAnsi="Arial" w:cs="Arial"/>
              </w:rPr>
            </w:pPr>
            <w:bookmarkStart w:id="120" w:name="_LINE__37_89a94db9_71b2_46d1_bcf3_fe062d"/>
            <w:r>
              <w:rPr>
                <w:rFonts w:ascii="Arial" w:eastAsia="Arial" w:hAnsi="Arial" w:cs="Arial"/>
              </w:rPr>
              <w:t>$0</w:t>
            </w:r>
            <w:bookmarkEnd w:id="120"/>
          </w:p>
        </w:tc>
        <w:tc>
          <w:tcPr>
            <w:tcW w:w="1469" w:type="dxa"/>
          </w:tcPr>
          <w:p w:rsidR="003C4DE7" w:rsidP="00BA0050">
            <w:pPr>
              <w:spacing w:before="0" w:after="0"/>
              <w:jc w:val="right"/>
              <w:rPr>
                <w:rFonts w:ascii="Arial" w:eastAsia="Arial" w:hAnsi="Arial" w:cs="Arial"/>
              </w:rPr>
            </w:pPr>
            <w:bookmarkStart w:id="121" w:name="_LINE__37_c08752fa_8f7d_4eed_99ca_25e0b0"/>
            <w:r>
              <w:rPr>
                <w:rFonts w:ascii="Arial" w:eastAsia="Arial" w:hAnsi="Arial" w:cs="Arial"/>
              </w:rPr>
              <w:t>$201,608</w:t>
            </w:r>
            <w:bookmarkEnd w:id="121"/>
          </w:p>
        </w:tc>
      </w:tr>
      <w:tr w:rsidTr="00BA0050">
        <w:tblPrEx>
          <w:tblW w:w="0" w:type="auto"/>
          <w:tblInd w:w="360" w:type="dxa"/>
          <w:tblCellMar>
            <w:left w:w="0" w:type="dxa"/>
            <w:right w:w="0" w:type="dxa"/>
          </w:tblCellMar>
          <w:tblLook w:val="04A0"/>
        </w:tblPrEx>
        <w:tc>
          <w:tcPr>
            <w:tcW w:w="5069" w:type="dxa"/>
          </w:tcPr>
          <w:p w:rsidR="003C4DE7" w:rsidP="00BA0050">
            <w:pPr>
              <w:spacing w:before="0" w:after="0"/>
              <w:rPr>
                <w:rFonts w:ascii="Arial" w:eastAsia="Arial" w:hAnsi="Arial" w:cs="Arial"/>
              </w:rPr>
            </w:pPr>
            <w:bookmarkStart w:id="122" w:name="_LINE__38_4648e7cc_e756_4b33_ab24_a40264"/>
            <w:r>
              <w:rPr>
                <w:rFonts w:ascii="Arial" w:eastAsia="Arial" w:hAnsi="Arial" w:cs="Arial"/>
              </w:rPr>
              <w:t xml:space="preserve"> </w:t>
            </w:r>
            <w:bookmarkEnd w:id="122"/>
          </w:p>
        </w:tc>
        <w:tc>
          <w:tcPr>
            <w:tcW w:w="1469" w:type="dxa"/>
          </w:tcPr>
          <w:p w:rsidR="003C4DE7" w:rsidP="00BA0050">
            <w:pPr>
              <w:spacing w:before="0" w:after="0"/>
              <w:jc w:val="right"/>
              <w:rPr>
                <w:rFonts w:ascii="Arial" w:eastAsia="Arial" w:hAnsi="Arial" w:cs="Arial"/>
              </w:rPr>
            </w:pPr>
            <w:bookmarkStart w:id="123" w:name="_LINE__38_e96774b3_8123_4df8_83ca_4c51ac"/>
            <w:r>
              <w:rPr>
                <w:rFonts w:ascii="Arial" w:eastAsia="Arial" w:hAnsi="Arial" w:cs="Arial"/>
              </w:rPr>
              <w:t>__________</w:t>
            </w:r>
            <w:bookmarkEnd w:id="123"/>
          </w:p>
        </w:tc>
        <w:tc>
          <w:tcPr>
            <w:tcW w:w="1469" w:type="dxa"/>
          </w:tcPr>
          <w:p w:rsidR="003C4DE7" w:rsidP="00BA0050">
            <w:pPr>
              <w:spacing w:before="0" w:after="0"/>
              <w:jc w:val="right"/>
              <w:rPr>
                <w:rFonts w:ascii="Arial" w:eastAsia="Arial" w:hAnsi="Arial" w:cs="Arial"/>
              </w:rPr>
            </w:pPr>
            <w:bookmarkStart w:id="124" w:name="_LINE__38_4933186f_ff48_4d87_999a_ad892e"/>
            <w:r>
              <w:rPr>
                <w:rFonts w:ascii="Arial" w:eastAsia="Arial" w:hAnsi="Arial" w:cs="Arial"/>
              </w:rPr>
              <w:t>__________</w:t>
            </w:r>
            <w:bookmarkEnd w:id="124"/>
          </w:p>
        </w:tc>
      </w:tr>
      <w:tr w:rsidTr="00BA0050">
        <w:tblPrEx>
          <w:tblW w:w="0" w:type="auto"/>
          <w:tblInd w:w="360" w:type="dxa"/>
          <w:tblCellMar>
            <w:left w:w="0" w:type="dxa"/>
            <w:right w:w="0" w:type="dxa"/>
          </w:tblCellMar>
          <w:tblLook w:val="04A0"/>
        </w:tblPrEx>
        <w:tc>
          <w:tcPr>
            <w:tcW w:w="5069" w:type="dxa"/>
          </w:tcPr>
          <w:p w:rsidR="003C4DE7" w:rsidP="00BA0050">
            <w:pPr>
              <w:spacing w:before="0" w:after="0"/>
              <w:rPr>
                <w:rFonts w:ascii="Arial" w:eastAsia="Arial" w:hAnsi="Arial" w:cs="Arial"/>
              </w:rPr>
            </w:pPr>
            <w:bookmarkStart w:id="125" w:name="_LINE__39_d9f454f4_178f_407f_910b_a851b1"/>
            <w:r>
              <w:rPr>
                <w:rFonts w:ascii="Arial" w:eastAsia="Arial" w:hAnsi="Arial" w:cs="Arial"/>
              </w:rPr>
              <w:t>OTHER SPECIAL REVENUE FUNDS TOTAL</w:t>
            </w:r>
            <w:bookmarkEnd w:id="125"/>
          </w:p>
        </w:tc>
        <w:tc>
          <w:tcPr>
            <w:tcW w:w="1469" w:type="dxa"/>
          </w:tcPr>
          <w:p w:rsidR="003C4DE7" w:rsidP="00BA0050">
            <w:pPr>
              <w:spacing w:before="0" w:after="0"/>
              <w:jc w:val="right"/>
              <w:rPr>
                <w:rFonts w:ascii="Arial" w:eastAsia="Arial" w:hAnsi="Arial" w:cs="Arial"/>
              </w:rPr>
            </w:pPr>
            <w:bookmarkStart w:id="126" w:name="_LINE__39_65c61266_d430_40d9_a3dc_f006a1"/>
            <w:r>
              <w:rPr>
                <w:rFonts w:ascii="Arial" w:eastAsia="Arial" w:hAnsi="Arial" w:cs="Arial"/>
              </w:rPr>
              <w:t>$0</w:t>
            </w:r>
            <w:bookmarkEnd w:id="126"/>
          </w:p>
        </w:tc>
        <w:tc>
          <w:tcPr>
            <w:tcW w:w="1469" w:type="dxa"/>
          </w:tcPr>
          <w:p w:rsidR="003C4DE7" w:rsidP="00BA0050">
            <w:pPr>
              <w:spacing w:before="0" w:after="0"/>
              <w:jc w:val="right"/>
              <w:rPr>
                <w:rFonts w:ascii="Arial" w:eastAsia="Arial" w:hAnsi="Arial" w:cs="Arial"/>
              </w:rPr>
            </w:pPr>
            <w:bookmarkStart w:id="127" w:name="_LINE__39_e2dbf206_138b_483b_a4e3_5f5b1d"/>
            <w:r>
              <w:rPr>
                <w:rFonts w:ascii="Arial" w:eastAsia="Arial" w:hAnsi="Arial" w:cs="Arial"/>
              </w:rPr>
              <w:t>$201,608</w:t>
            </w:r>
            <w:bookmarkEnd w:id="127"/>
          </w:p>
        </w:tc>
      </w:tr>
    </w:tbl>
    <w:p w:rsidR="003C4DE7" w:rsidP="003C4DE7">
      <w:pPr>
        <w:ind w:left="360"/>
        <w:rPr>
          <w:rFonts w:ascii="Arial" w:eastAsia="Arial" w:hAnsi="Arial" w:cs="Arial"/>
        </w:rPr>
      </w:pPr>
      <w:bookmarkStart w:id="128" w:name="_PAR__19_d9c9dd14_a3a3_40f9_8e20_c6f1843"/>
      <w:bookmarkEnd w:id="115"/>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BA0050">
        <w:tblPrEx>
          <w:tblW w:w="0" w:type="auto"/>
          <w:tblInd w:w="360" w:type="dxa"/>
          <w:tblCellMar>
            <w:left w:w="0" w:type="dxa"/>
            <w:right w:w="0" w:type="dxa"/>
          </w:tblCellMar>
          <w:tblLook w:val="04A0"/>
        </w:tblPrEx>
        <w:tc>
          <w:tcPr>
            <w:tcW w:w="5069" w:type="dxa"/>
          </w:tcPr>
          <w:p w:rsidR="003C4DE7" w:rsidP="00BA0050">
            <w:pPr>
              <w:spacing w:before="0" w:after="0"/>
              <w:rPr>
                <w:rFonts w:ascii="Arial" w:eastAsia="Arial" w:hAnsi="Arial" w:cs="Arial"/>
              </w:rPr>
            </w:pPr>
            <w:bookmarkStart w:id="129" w:name="_PAGE__6_c9c6576c_0db9_4d27_945f_6b023f5"/>
            <w:bookmarkStart w:id="130" w:name="_PAR__2_ca7b417c_a6d2_4e64_91b9_342e0a28"/>
            <w:bookmarkStart w:id="131" w:name="_LINE__1_7264928c_a176_45d5_97a4_3f8c54f"/>
            <w:bookmarkEnd w:id="68"/>
            <w:bookmarkEnd w:id="128"/>
            <w:r>
              <w:rPr>
                <w:rFonts w:ascii="Arial" w:eastAsia="Arial" w:hAnsi="Arial" w:cs="Arial"/>
                <w:b/>
              </w:rPr>
              <w:t>PUBLIC UTILITIES COMMISSION</w:t>
            </w:r>
            <w:bookmarkEnd w:id="131"/>
          </w:p>
        </w:tc>
        <w:tc>
          <w:tcPr>
            <w:tcW w:w="1469" w:type="dxa"/>
          </w:tcPr>
          <w:p w:rsidR="003C4DE7" w:rsidP="00BA0050">
            <w:pPr>
              <w:spacing w:before="0" w:after="0"/>
              <w:rPr>
                <w:rFonts w:ascii="Arial" w:eastAsia="Arial" w:hAnsi="Arial" w:cs="Arial"/>
              </w:rPr>
            </w:pPr>
            <w:bookmarkStart w:id="132" w:name="_LINE__1_d79c41f3_d9c1_4061_a171_b788135"/>
            <w:r>
              <w:rPr>
                <w:rFonts w:ascii="Arial" w:eastAsia="Arial" w:hAnsi="Arial" w:cs="Arial"/>
              </w:rPr>
              <w:t xml:space="preserve"> </w:t>
            </w:r>
            <w:bookmarkEnd w:id="132"/>
          </w:p>
        </w:tc>
        <w:tc>
          <w:tcPr>
            <w:tcW w:w="1469" w:type="dxa"/>
          </w:tcPr>
          <w:p w:rsidR="003C4DE7" w:rsidP="00BA0050">
            <w:pPr>
              <w:spacing w:before="0" w:after="0"/>
              <w:rPr>
                <w:rFonts w:ascii="Arial" w:eastAsia="Arial" w:hAnsi="Arial" w:cs="Arial"/>
              </w:rPr>
            </w:pPr>
            <w:bookmarkStart w:id="133" w:name="_LINE__1_3faf80fe_eb5d_4322_82a7_5913989"/>
            <w:r>
              <w:rPr>
                <w:rFonts w:ascii="Arial" w:eastAsia="Arial" w:hAnsi="Arial" w:cs="Arial"/>
              </w:rPr>
              <w:t xml:space="preserve"> </w:t>
            </w:r>
            <w:bookmarkEnd w:id="133"/>
          </w:p>
        </w:tc>
      </w:tr>
      <w:tr w:rsidTr="00BA0050">
        <w:tblPrEx>
          <w:tblW w:w="0" w:type="auto"/>
          <w:tblInd w:w="360" w:type="dxa"/>
          <w:tblCellMar>
            <w:left w:w="0" w:type="dxa"/>
            <w:right w:w="0" w:type="dxa"/>
          </w:tblCellMar>
          <w:tblLook w:val="04A0"/>
        </w:tblPrEx>
        <w:tc>
          <w:tcPr>
            <w:tcW w:w="5069" w:type="dxa"/>
          </w:tcPr>
          <w:p w:rsidR="003C4DE7" w:rsidP="00BA0050">
            <w:pPr>
              <w:spacing w:before="0" w:after="0"/>
              <w:rPr>
                <w:rFonts w:ascii="Arial" w:eastAsia="Arial" w:hAnsi="Arial" w:cs="Arial"/>
              </w:rPr>
            </w:pPr>
            <w:bookmarkStart w:id="134" w:name="_LINE__2_5e2164ac_9281_447e_9789_1277974"/>
            <w:r>
              <w:rPr>
                <w:rFonts w:ascii="Arial" w:eastAsia="Arial" w:hAnsi="Arial" w:cs="Arial"/>
                <w:b/>
              </w:rPr>
              <w:t>DEPARTMENT TOTALS</w:t>
            </w:r>
            <w:bookmarkEnd w:id="134"/>
          </w:p>
        </w:tc>
        <w:tc>
          <w:tcPr>
            <w:tcW w:w="1469" w:type="dxa"/>
          </w:tcPr>
          <w:p w:rsidR="003C4DE7" w:rsidP="00BA0050">
            <w:pPr>
              <w:spacing w:before="0" w:after="0"/>
              <w:jc w:val="right"/>
              <w:rPr>
                <w:rFonts w:ascii="Arial" w:eastAsia="Arial" w:hAnsi="Arial" w:cs="Arial"/>
              </w:rPr>
            </w:pPr>
            <w:bookmarkStart w:id="135" w:name="_LINE__2_ea50e9a9_3a7b_496a_9bff_a135bcc"/>
            <w:r>
              <w:rPr>
                <w:rFonts w:ascii="Arial" w:eastAsia="Arial" w:hAnsi="Arial" w:cs="Arial"/>
                <w:b/>
              </w:rPr>
              <w:t>2025-26</w:t>
            </w:r>
            <w:bookmarkEnd w:id="135"/>
          </w:p>
        </w:tc>
        <w:tc>
          <w:tcPr>
            <w:tcW w:w="1469" w:type="dxa"/>
          </w:tcPr>
          <w:p w:rsidR="003C4DE7" w:rsidP="00BA0050">
            <w:pPr>
              <w:spacing w:before="0" w:after="0"/>
              <w:jc w:val="right"/>
              <w:rPr>
                <w:rFonts w:ascii="Arial" w:eastAsia="Arial" w:hAnsi="Arial" w:cs="Arial"/>
              </w:rPr>
            </w:pPr>
            <w:bookmarkStart w:id="136" w:name="_LINE__2_977385a1_b8ec_4514_afec_5065a9e"/>
            <w:r>
              <w:rPr>
                <w:rFonts w:ascii="Arial" w:eastAsia="Arial" w:hAnsi="Arial" w:cs="Arial"/>
                <w:b/>
              </w:rPr>
              <w:t>2026-27</w:t>
            </w:r>
            <w:bookmarkEnd w:id="136"/>
          </w:p>
        </w:tc>
      </w:tr>
      <w:tr w:rsidTr="00BA0050">
        <w:tblPrEx>
          <w:tblW w:w="0" w:type="auto"/>
          <w:tblInd w:w="360" w:type="dxa"/>
          <w:tblCellMar>
            <w:left w:w="0" w:type="dxa"/>
            <w:right w:w="0" w:type="dxa"/>
          </w:tblCellMar>
          <w:tblLook w:val="04A0"/>
        </w:tblPrEx>
        <w:tc>
          <w:tcPr>
            <w:tcW w:w="5069" w:type="dxa"/>
          </w:tcPr>
          <w:p w:rsidR="003C4DE7" w:rsidP="00BA0050">
            <w:pPr>
              <w:spacing w:before="0" w:after="0"/>
              <w:rPr>
                <w:rFonts w:ascii="Arial" w:eastAsia="Arial" w:hAnsi="Arial" w:cs="Arial"/>
              </w:rPr>
            </w:pPr>
            <w:bookmarkStart w:id="137" w:name="_LINE__3_86455dcc_ee5f_4ea5_970e_fa2bc8a"/>
            <w:r>
              <w:rPr>
                <w:rFonts w:ascii="Arial" w:eastAsia="Arial" w:hAnsi="Arial" w:cs="Arial"/>
              </w:rPr>
              <w:t xml:space="preserve"> </w:t>
            </w:r>
            <w:bookmarkEnd w:id="137"/>
          </w:p>
        </w:tc>
        <w:tc>
          <w:tcPr>
            <w:tcW w:w="1469" w:type="dxa"/>
          </w:tcPr>
          <w:p w:rsidR="003C4DE7" w:rsidP="00BA0050">
            <w:pPr>
              <w:spacing w:before="0" w:after="0"/>
              <w:rPr>
                <w:rFonts w:ascii="Arial" w:eastAsia="Arial" w:hAnsi="Arial" w:cs="Arial"/>
              </w:rPr>
            </w:pPr>
            <w:bookmarkStart w:id="138" w:name="_LINE__3_a44e2273_d62d_4e09_9f23_2fc75a7"/>
            <w:r>
              <w:rPr>
                <w:rFonts w:ascii="Arial" w:eastAsia="Arial" w:hAnsi="Arial" w:cs="Arial"/>
              </w:rPr>
              <w:t xml:space="preserve"> </w:t>
            </w:r>
            <w:bookmarkEnd w:id="138"/>
          </w:p>
        </w:tc>
        <w:tc>
          <w:tcPr>
            <w:tcW w:w="1469" w:type="dxa"/>
          </w:tcPr>
          <w:p w:rsidR="003C4DE7" w:rsidP="00BA0050">
            <w:pPr>
              <w:spacing w:before="0" w:after="0"/>
              <w:rPr>
                <w:rFonts w:ascii="Arial" w:eastAsia="Arial" w:hAnsi="Arial" w:cs="Arial"/>
              </w:rPr>
            </w:pPr>
            <w:bookmarkStart w:id="139" w:name="_LINE__3_6b36a6fc_998b_4c89_beb3_d2b5f14"/>
            <w:r>
              <w:rPr>
                <w:rFonts w:ascii="Arial" w:eastAsia="Arial" w:hAnsi="Arial" w:cs="Arial"/>
              </w:rPr>
              <w:t xml:space="preserve"> </w:t>
            </w:r>
            <w:bookmarkEnd w:id="139"/>
          </w:p>
        </w:tc>
      </w:tr>
      <w:tr w:rsidTr="00BA0050">
        <w:tblPrEx>
          <w:tblW w:w="0" w:type="auto"/>
          <w:tblInd w:w="360" w:type="dxa"/>
          <w:tblCellMar>
            <w:left w:w="0" w:type="dxa"/>
            <w:right w:w="0" w:type="dxa"/>
          </w:tblCellMar>
          <w:tblLook w:val="04A0"/>
        </w:tblPrEx>
        <w:tc>
          <w:tcPr>
            <w:tcW w:w="5069" w:type="dxa"/>
          </w:tcPr>
          <w:p w:rsidR="003C4DE7" w:rsidP="00BA0050">
            <w:pPr>
              <w:spacing w:before="0" w:after="0"/>
              <w:ind w:left="180"/>
              <w:rPr>
                <w:rFonts w:ascii="Arial" w:eastAsia="Arial" w:hAnsi="Arial" w:cs="Arial"/>
              </w:rPr>
            </w:pPr>
            <w:bookmarkStart w:id="140" w:name="_LINE__4_6d689014_f7bc_4478_b9cd_8822d61"/>
            <w:r>
              <w:rPr>
                <w:rFonts w:ascii="Arial" w:eastAsia="Arial" w:hAnsi="Arial" w:cs="Arial"/>
                <w:b/>
              </w:rPr>
              <w:t>OTHER SPECIAL REVENUE FUNDS</w:t>
            </w:r>
            <w:bookmarkEnd w:id="140"/>
          </w:p>
        </w:tc>
        <w:tc>
          <w:tcPr>
            <w:tcW w:w="1469" w:type="dxa"/>
          </w:tcPr>
          <w:p w:rsidR="003C4DE7" w:rsidP="00BA0050">
            <w:pPr>
              <w:spacing w:before="0" w:after="0"/>
              <w:jc w:val="right"/>
              <w:rPr>
                <w:rFonts w:ascii="Arial" w:eastAsia="Arial" w:hAnsi="Arial" w:cs="Arial"/>
              </w:rPr>
            </w:pPr>
            <w:bookmarkStart w:id="141" w:name="_LINE__4_57e618a7_162d_46b7_b7cf_d3fd862"/>
            <w:r>
              <w:rPr>
                <w:rFonts w:ascii="Arial" w:eastAsia="Arial" w:hAnsi="Arial" w:cs="Arial"/>
                <w:b/>
              </w:rPr>
              <w:t>$0</w:t>
            </w:r>
            <w:bookmarkEnd w:id="141"/>
          </w:p>
        </w:tc>
        <w:tc>
          <w:tcPr>
            <w:tcW w:w="1469" w:type="dxa"/>
          </w:tcPr>
          <w:p w:rsidR="003C4DE7" w:rsidP="00BA0050">
            <w:pPr>
              <w:spacing w:before="0" w:after="0"/>
              <w:jc w:val="right"/>
              <w:rPr>
                <w:rFonts w:ascii="Arial" w:eastAsia="Arial" w:hAnsi="Arial" w:cs="Arial"/>
              </w:rPr>
            </w:pPr>
            <w:bookmarkStart w:id="142" w:name="_LINE__4_bdccee32_335c_462e_a915_d01ddce"/>
            <w:r>
              <w:rPr>
                <w:rFonts w:ascii="Arial" w:eastAsia="Arial" w:hAnsi="Arial" w:cs="Arial"/>
                <w:b/>
              </w:rPr>
              <w:t>$201,608</w:t>
            </w:r>
            <w:bookmarkEnd w:id="142"/>
          </w:p>
        </w:tc>
      </w:tr>
      <w:tr w:rsidTr="00BA0050">
        <w:tblPrEx>
          <w:tblW w:w="0" w:type="auto"/>
          <w:tblInd w:w="360" w:type="dxa"/>
          <w:tblCellMar>
            <w:left w:w="0" w:type="dxa"/>
            <w:right w:w="0" w:type="dxa"/>
          </w:tblCellMar>
          <w:tblLook w:val="04A0"/>
        </w:tblPrEx>
        <w:tc>
          <w:tcPr>
            <w:tcW w:w="5069" w:type="dxa"/>
          </w:tcPr>
          <w:p w:rsidR="003C4DE7" w:rsidP="00BA0050">
            <w:pPr>
              <w:spacing w:before="0" w:after="0"/>
              <w:rPr>
                <w:rFonts w:ascii="Arial" w:eastAsia="Arial" w:hAnsi="Arial" w:cs="Arial"/>
              </w:rPr>
            </w:pPr>
            <w:bookmarkStart w:id="143" w:name="_LINE__5_8d6e9035_254c_4f17_b53a_7bf6d27"/>
            <w:r>
              <w:rPr>
                <w:rFonts w:ascii="Arial" w:eastAsia="Arial" w:hAnsi="Arial" w:cs="Arial"/>
              </w:rPr>
              <w:t xml:space="preserve"> </w:t>
            </w:r>
            <w:bookmarkEnd w:id="143"/>
          </w:p>
        </w:tc>
        <w:tc>
          <w:tcPr>
            <w:tcW w:w="1469" w:type="dxa"/>
          </w:tcPr>
          <w:p w:rsidR="003C4DE7" w:rsidP="00BA0050">
            <w:pPr>
              <w:spacing w:before="0" w:after="0"/>
              <w:jc w:val="right"/>
              <w:rPr>
                <w:rFonts w:ascii="Arial" w:eastAsia="Arial" w:hAnsi="Arial" w:cs="Arial"/>
              </w:rPr>
            </w:pPr>
            <w:bookmarkStart w:id="144" w:name="_LINE__5_9a1385d3_4dd3_4cc1_b4f1_4fd6f26"/>
            <w:r>
              <w:rPr>
                <w:rFonts w:ascii="Arial" w:eastAsia="Arial" w:hAnsi="Arial" w:cs="Arial"/>
              </w:rPr>
              <w:t>__________</w:t>
            </w:r>
            <w:bookmarkEnd w:id="144"/>
          </w:p>
        </w:tc>
        <w:tc>
          <w:tcPr>
            <w:tcW w:w="1469" w:type="dxa"/>
          </w:tcPr>
          <w:p w:rsidR="003C4DE7" w:rsidP="00BA0050">
            <w:pPr>
              <w:spacing w:before="0" w:after="0"/>
              <w:jc w:val="right"/>
              <w:rPr>
                <w:rFonts w:ascii="Arial" w:eastAsia="Arial" w:hAnsi="Arial" w:cs="Arial"/>
              </w:rPr>
            </w:pPr>
            <w:bookmarkStart w:id="145" w:name="_LINE__5_30eac801_d88c_49e5_b732_f3a3a45"/>
            <w:r>
              <w:rPr>
                <w:rFonts w:ascii="Arial" w:eastAsia="Arial" w:hAnsi="Arial" w:cs="Arial"/>
              </w:rPr>
              <w:t>__________</w:t>
            </w:r>
            <w:bookmarkEnd w:id="145"/>
          </w:p>
        </w:tc>
      </w:tr>
      <w:tr w:rsidTr="00BA0050">
        <w:tblPrEx>
          <w:tblW w:w="0" w:type="auto"/>
          <w:tblInd w:w="360" w:type="dxa"/>
          <w:tblCellMar>
            <w:left w:w="0" w:type="dxa"/>
            <w:right w:w="0" w:type="dxa"/>
          </w:tblCellMar>
          <w:tblLook w:val="04A0"/>
        </w:tblPrEx>
        <w:tc>
          <w:tcPr>
            <w:tcW w:w="5069" w:type="dxa"/>
          </w:tcPr>
          <w:p w:rsidR="003C4DE7" w:rsidP="00BA0050">
            <w:pPr>
              <w:spacing w:before="0" w:after="0"/>
              <w:rPr>
                <w:rFonts w:ascii="Arial" w:eastAsia="Arial" w:hAnsi="Arial" w:cs="Arial"/>
              </w:rPr>
            </w:pPr>
            <w:bookmarkStart w:id="146" w:name="_LINE__6_d0125cb0_b0c1_4180_bfb1_5eb18c4"/>
            <w:r>
              <w:rPr>
                <w:rFonts w:ascii="Arial" w:eastAsia="Arial" w:hAnsi="Arial" w:cs="Arial"/>
                <w:b/>
              </w:rPr>
              <w:t>DEPARTMENT TOTAL - ALL FUNDS</w:t>
            </w:r>
            <w:bookmarkEnd w:id="146"/>
          </w:p>
        </w:tc>
        <w:tc>
          <w:tcPr>
            <w:tcW w:w="1469" w:type="dxa"/>
          </w:tcPr>
          <w:p w:rsidR="003C4DE7" w:rsidP="00BA0050">
            <w:pPr>
              <w:spacing w:before="0" w:after="0"/>
              <w:jc w:val="right"/>
              <w:rPr>
                <w:rFonts w:ascii="Arial" w:eastAsia="Arial" w:hAnsi="Arial" w:cs="Arial"/>
              </w:rPr>
            </w:pPr>
            <w:bookmarkStart w:id="147" w:name="_LINE__6_048af290_2fc6_42ed_9f28_2b53449"/>
            <w:r>
              <w:rPr>
                <w:rFonts w:ascii="Arial" w:eastAsia="Arial" w:hAnsi="Arial" w:cs="Arial"/>
                <w:b/>
              </w:rPr>
              <w:t>$0</w:t>
            </w:r>
            <w:bookmarkEnd w:id="147"/>
          </w:p>
        </w:tc>
        <w:tc>
          <w:tcPr>
            <w:tcW w:w="1469" w:type="dxa"/>
          </w:tcPr>
          <w:p w:rsidR="003C4DE7" w:rsidP="00BA0050">
            <w:pPr>
              <w:spacing w:before="0" w:after="0"/>
              <w:jc w:val="right"/>
              <w:rPr>
                <w:rFonts w:ascii="Arial" w:eastAsia="Arial" w:hAnsi="Arial" w:cs="Arial"/>
              </w:rPr>
            </w:pPr>
            <w:bookmarkStart w:id="148" w:name="_LINE__6_b0489baa_b632_4385_9ecd_2fb6984"/>
            <w:r>
              <w:rPr>
                <w:rFonts w:ascii="Arial" w:eastAsia="Arial" w:hAnsi="Arial" w:cs="Arial"/>
                <w:b/>
              </w:rPr>
              <w:t>$201,608</w:t>
            </w:r>
            <w:bookmarkEnd w:id="148"/>
          </w:p>
        </w:tc>
      </w:tr>
    </w:tbl>
    <w:p w:rsidR="003C4DE7" w:rsidP="003C4DE7">
      <w:pPr>
        <w:ind w:left="360"/>
        <w:rPr>
          <w:rFonts w:ascii="Arial" w:eastAsia="Arial" w:hAnsi="Arial" w:cs="Arial"/>
        </w:rPr>
      </w:pPr>
      <w:bookmarkStart w:id="149" w:name="_PAR__3_615b8ff0_1546_4c9c_850c_0f5f8164"/>
      <w:bookmarkEnd w:id="130"/>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BA0050">
        <w:tblPrEx>
          <w:tblW w:w="0" w:type="auto"/>
          <w:tblInd w:w="360" w:type="dxa"/>
          <w:tblCellMar>
            <w:left w:w="0" w:type="dxa"/>
            <w:right w:w="0" w:type="dxa"/>
          </w:tblCellMar>
          <w:tblLook w:val="04A0"/>
        </w:tblPrEx>
        <w:tc>
          <w:tcPr>
            <w:tcW w:w="5069" w:type="dxa"/>
          </w:tcPr>
          <w:p w:rsidR="003C4DE7" w:rsidP="00BA0050">
            <w:pPr>
              <w:spacing w:before="0" w:after="0"/>
              <w:rPr>
                <w:rFonts w:ascii="Arial" w:eastAsia="Arial" w:hAnsi="Arial" w:cs="Arial"/>
              </w:rPr>
            </w:pPr>
            <w:bookmarkStart w:id="150" w:name="_PAR__4_f7b1939c_742e_4d01_8cb7_648dbb90"/>
            <w:bookmarkStart w:id="151" w:name="_LINE__8_c6fd6e8b_3cbc_424f_bd87_172c728"/>
            <w:bookmarkEnd w:id="149"/>
            <w:r>
              <w:rPr>
                <w:rFonts w:ascii="Arial" w:eastAsia="Arial" w:hAnsi="Arial" w:cs="Arial"/>
                <w:b/>
              </w:rPr>
              <w:t>SECTION TOTALS</w:t>
            </w:r>
            <w:bookmarkEnd w:id="151"/>
          </w:p>
        </w:tc>
        <w:tc>
          <w:tcPr>
            <w:tcW w:w="1469" w:type="dxa"/>
          </w:tcPr>
          <w:p w:rsidR="003C4DE7" w:rsidP="00BA0050">
            <w:pPr>
              <w:spacing w:before="0" w:after="0"/>
              <w:jc w:val="right"/>
              <w:rPr>
                <w:rFonts w:ascii="Arial" w:eastAsia="Arial" w:hAnsi="Arial" w:cs="Arial"/>
              </w:rPr>
            </w:pPr>
            <w:bookmarkStart w:id="152" w:name="_LINE__8_e5a8ed2c_3aff_4947_9ef1_7e2aa6f"/>
            <w:r>
              <w:rPr>
                <w:rFonts w:ascii="Arial" w:eastAsia="Arial" w:hAnsi="Arial" w:cs="Arial"/>
                <w:b/>
              </w:rPr>
              <w:t>2025-26</w:t>
            </w:r>
            <w:bookmarkEnd w:id="152"/>
          </w:p>
        </w:tc>
        <w:tc>
          <w:tcPr>
            <w:tcW w:w="1469" w:type="dxa"/>
          </w:tcPr>
          <w:p w:rsidR="003C4DE7" w:rsidP="00BA0050">
            <w:pPr>
              <w:spacing w:before="0" w:after="0"/>
              <w:jc w:val="right"/>
              <w:rPr>
                <w:rFonts w:ascii="Arial" w:eastAsia="Arial" w:hAnsi="Arial" w:cs="Arial"/>
              </w:rPr>
            </w:pPr>
            <w:bookmarkStart w:id="153" w:name="_LINE__8_117e529d_0e56_4196_9790_d56a1b6"/>
            <w:r>
              <w:rPr>
                <w:rFonts w:ascii="Arial" w:eastAsia="Arial" w:hAnsi="Arial" w:cs="Arial"/>
                <w:b/>
              </w:rPr>
              <w:t>2026-27</w:t>
            </w:r>
            <w:bookmarkEnd w:id="153"/>
          </w:p>
        </w:tc>
      </w:tr>
      <w:tr w:rsidTr="00BA0050">
        <w:tblPrEx>
          <w:tblW w:w="0" w:type="auto"/>
          <w:tblInd w:w="360" w:type="dxa"/>
          <w:tblCellMar>
            <w:left w:w="0" w:type="dxa"/>
            <w:right w:w="0" w:type="dxa"/>
          </w:tblCellMar>
          <w:tblLook w:val="04A0"/>
        </w:tblPrEx>
        <w:tc>
          <w:tcPr>
            <w:tcW w:w="5069" w:type="dxa"/>
          </w:tcPr>
          <w:p w:rsidR="003C4DE7" w:rsidP="00BA0050">
            <w:pPr>
              <w:spacing w:before="0" w:after="0"/>
              <w:rPr>
                <w:rFonts w:ascii="Arial" w:eastAsia="Arial" w:hAnsi="Arial" w:cs="Arial"/>
              </w:rPr>
            </w:pPr>
            <w:bookmarkStart w:id="154" w:name="_LINE__9_f6334da5_1cb9_44d1_b696_cf466ad"/>
            <w:r>
              <w:rPr>
                <w:rFonts w:ascii="Arial" w:eastAsia="Arial" w:hAnsi="Arial" w:cs="Arial"/>
              </w:rPr>
              <w:t xml:space="preserve"> </w:t>
            </w:r>
            <w:bookmarkEnd w:id="154"/>
          </w:p>
        </w:tc>
        <w:tc>
          <w:tcPr>
            <w:tcW w:w="1469" w:type="dxa"/>
          </w:tcPr>
          <w:p w:rsidR="003C4DE7" w:rsidP="00BA0050">
            <w:pPr>
              <w:spacing w:before="0" w:after="0"/>
              <w:rPr>
                <w:rFonts w:ascii="Arial" w:eastAsia="Arial" w:hAnsi="Arial" w:cs="Arial"/>
              </w:rPr>
            </w:pPr>
            <w:bookmarkStart w:id="155" w:name="_LINE__9_1b7055a8_56c1_4d67_84e1_547079e"/>
            <w:r>
              <w:rPr>
                <w:rFonts w:ascii="Arial" w:eastAsia="Arial" w:hAnsi="Arial" w:cs="Arial"/>
              </w:rPr>
              <w:t xml:space="preserve"> </w:t>
            </w:r>
            <w:bookmarkEnd w:id="155"/>
          </w:p>
        </w:tc>
        <w:tc>
          <w:tcPr>
            <w:tcW w:w="1469" w:type="dxa"/>
          </w:tcPr>
          <w:p w:rsidR="003C4DE7" w:rsidP="00BA0050">
            <w:pPr>
              <w:spacing w:before="0" w:after="0"/>
              <w:rPr>
                <w:rFonts w:ascii="Arial" w:eastAsia="Arial" w:hAnsi="Arial" w:cs="Arial"/>
              </w:rPr>
            </w:pPr>
            <w:bookmarkStart w:id="156" w:name="_LINE__9_b3d88d3b_739e_4ce7_b370_58158c9"/>
            <w:r>
              <w:rPr>
                <w:rFonts w:ascii="Arial" w:eastAsia="Arial" w:hAnsi="Arial" w:cs="Arial"/>
              </w:rPr>
              <w:t xml:space="preserve"> </w:t>
            </w:r>
            <w:bookmarkEnd w:id="156"/>
          </w:p>
        </w:tc>
      </w:tr>
      <w:tr w:rsidTr="00BA0050">
        <w:tblPrEx>
          <w:tblW w:w="0" w:type="auto"/>
          <w:tblInd w:w="360" w:type="dxa"/>
          <w:tblCellMar>
            <w:left w:w="0" w:type="dxa"/>
            <w:right w:w="0" w:type="dxa"/>
          </w:tblCellMar>
          <w:tblLook w:val="04A0"/>
        </w:tblPrEx>
        <w:tc>
          <w:tcPr>
            <w:tcW w:w="5069" w:type="dxa"/>
          </w:tcPr>
          <w:p w:rsidR="003C4DE7" w:rsidP="00BA0050">
            <w:pPr>
              <w:spacing w:before="0" w:after="0"/>
              <w:ind w:left="180"/>
              <w:rPr>
                <w:rFonts w:ascii="Arial" w:eastAsia="Arial" w:hAnsi="Arial" w:cs="Arial"/>
              </w:rPr>
            </w:pPr>
            <w:bookmarkStart w:id="157" w:name="_LINE__10_bd76afd3_a448_44f4_891f_f0991c"/>
            <w:r>
              <w:rPr>
                <w:rFonts w:ascii="Arial" w:eastAsia="Arial" w:hAnsi="Arial" w:cs="Arial"/>
                <w:b/>
              </w:rPr>
              <w:t>GENERAL FUND</w:t>
            </w:r>
            <w:bookmarkEnd w:id="157"/>
          </w:p>
        </w:tc>
        <w:tc>
          <w:tcPr>
            <w:tcW w:w="1469" w:type="dxa"/>
          </w:tcPr>
          <w:p w:rsidR="003C4DE7" w:rsidP="00BA0050">
            <w:pPr>
              <w:spacing w:before="0" w:after="0"/>
              <w:jc w:val="right"/>
              <w:rPr>
                <w:rFonts w:ascii="Arial" w:eastAsia="Arial" w:hAnsi="Arial" w:cs="Arial"/>
              </w:rPr>
            </w:pPr>
            <w:bookmarkStart w:id="158" w:name="_LINE__10_edf6af53_8430_49a0_819b_315da6"/>
            <w:r>
              <w:rPr>
                <w:rFonts w:ascii="Arial" w:eastAsia="Arial" w:hAnsi="Arial" w:cs="Arial"/>
                <w:b/>
              </w:rPr>
              <w:t>$0</w:t>
            </w:r>
            <w:bookmarkEnd w:id="158"/>
          </w:p>
        </w:tc>
        <w:tc>
          <w:tcPr>
            <w:tcW w:w="1469" w:type="dxa"/>
          </w:tcPr>
          <w:p w:rsidR="003C4DE7" w:rsidP="00BA0050">
            <w:pPr>
              <w:spacing w:before="0" w:after="0"/>
              <w:jc w:val="right"/>
              <w:rPr>
                <w:rFonts w:ascii="Arial" w:eastAsia="Arial" w:hAnsi="Arial" w:cs="Arial"/>
              </w:rPr>
            </w:pPr>
            <w:bookmarkStart w:id="159" w:name="_LINE__10_9a2c0236_3e3e_4896_8f0e_271d4c"/>
            <w:r>
              <w:rPr>
                <w:rFonts w:ascii="Arial" w:eastAsia="Arial" w:hAnsi="Arial" w:cs="Arial"/>
                <w:b/>
              </w:rPr>
              <w:t>$95,000</w:t>
            </w:r>
            <w:bookmarkEnd w:id="159"/>
          </w:p>
        </w:tc>
      </w:tr>
      <w:tr w:rsidTr="00BA0050">
        <w:tblPrEx>
          <w:tblW w:w="0" w:type="auto"/>
          <w:tblInd w:w="360" w:type="dxa"/>
          <w:tblCellMar>
            <w:left w:w="0" w:type="dxa"/>
            <w:right w:w="0" w:type="dxa"/>
          </w:tblCellMar>
          <w:tblLook w:val="04A0"/>
        </w:tblPrEx>
        <w:tc>
          <w:tcPr>
            <w:tcW w:w="5069" w:type="dxa"/>
          </w:tcPr>
          <w:p w:rsidR="003C4DE7" w:rsidP="00BA0050">
            <w:pPr>
              <w:spacing w:before="0" w:after="0"/>
              <w:ind w:left="180"/>
              <w:rPr>
                <w:rFonts w:ascii="Arial" w:eastAsia="Arial" w:hAnsi="Arial" w:cs="Arial"/>
              </w:rPr>
            </w:pPr>
            <w:bookmarkStart w:id="160" w:name="_LINE__11_e5d1c4ec_87c6_4b80_9810_e1e895"/>
            <w:r>
              <w:rPr>
                <w:rFonts w:ascii="Arial" w:eastAsia="Arial" w:hAnsi="Arial" w:cs="Arial"/>
                <w:b/>
              </w:rPr>
              <w:t>OTHER SPECIAL REVENUE FUNDS</w:t>
            </w:r>
            <w:bookmarkEnd w:id="160"/>
          </w:p>
        </w:tc>
        <w:tc>
          <w:tcPr>
            <w:tcW w:w="1469" w:type="dxa"/>
          </w:tcPr>
          <w:p w:rsidR="003C4DE7" w:rsidP="00BA0050">
            <w:pPr>
              <w:spacing w:before="0" w:after="0"/>
              <w:jc w:val="right"/>
              <w:rPr>
                <w:rFonts w:ascii="Arial" w:eastAsia="Arial" w:hAnsi="Arial" w:cs="Arial"/>
              </w:rPr>
            </w:pPr>
            <w:bookmarkStart w:id="161" w:name="_LINE__11_356f39cc_6bfb_4b5d_9637_552b02"/>
            <w:r>
              <w:rPr>
                <w:rFonts w:ascii="Arial" w:eastAsia="Arial" w:hAnsi="Arial" w:cs="Arial"/>
                <w:b/>
              </w:rPr>
              <w:t>$0</w:t>
            </w:r>
            <w:bookmarkEnd w:id="161"/>
          </w:p>
        </w:tc>
        <w:tc>
          <w:tcPr>
            <w:tcW w:w="1469" w:type="dxa"/>
          </w:tcPr>
          <w:p w:rsidR="003C4DE7" w:rsidP="00BA0050">
            <w:pPr>
              <w:spacing w:before="0" w:after="0"/>
              <w:jc w:val="right"/>
              <w:rPr>
                <w:rFonts w:ascii="Arial" w:eastAsia="Arial" w:hAnsi="Arial" w:cs="Arial"/>
              </w:rPr>
            </w:pPr>
            <w:bookmarkStart w:id="162" w:name="_LINE__11_bb78128d_7dde_423d_be6b_846f80"/>
            <w:r>
              <w:rPr>
                <w:rFonts w:ascii="Arial" w:eastAsia="Arial" w:hAnsi="Arial" w:cs="Arial"/>
                <w:b/>
              </w:rPr>
              <w:t>$201,608</w:t>
            </w:r>
            <w:bookmarkEnd w:id="162"/>
          </w:p>
        </w:tc>
      </w:tr>
      <w:tr w:rsidTr="00BA0050">
        <w:tblPrEx>
          <w:tblW w:w="0" w:type="auto"/>
          <w:tblInd w:w="360" w:type="dxa"/>
          <w:tblCellMar>
            <w:left w:w="0" w:type="dxa"/>
            <w:right w:w="0" w:type="dxa"/>
          </w:tblCellMar>
          <w:tblLook w:val="04A0"/>
        </w:tblPrEx>
        <w:tc>
          <w:tcPr>
            <w:tcW w:w="5069" w:type="dxa"/>
          </w:tcPr>
          <w:p w:rsidR="003C4DE7" w:rsidP="00BA0050">
            <w:pPr>
              <w:spacing w:before="0" w:after="0"/>
              <w:rPr>
                <w:rFonts w:ascii="Arial" w:eastAsia="Arial" w:hAnsi="Arial" w:cs="Arial"/>
              </w:rPr>
            </w:pPr>
            <w:bookmarkStart w:id="163" w:name="_LINE__12_d24fe419_acce_448f_b0ed_712899"/>
            <w:r>
              <w:rPr>
                <w:rFonts w:ascii="Arial" w:eastAsia="Arial" w:hAnsi="Arial" w:cs="Arial"/>
              </w:rPr>
              <w:t xml:space="preserve"> </w:t>
            </w:r>
            <w:bookmarkEnd w:id="163"/>
          </w:p>
        </w:tc>
        <w:tc>
          <w:tcPr>
            <w:tcW w:w="1469" w:type="dxa"/>
          </w:tcPr>
          <w:p w:rsidR="003C4DE7" w:rsidP="00BA0050">
            <w:pPr>
              <w:spacing w:before="0" w:after="0"/>
              <w:jc w:val="right"/>
              <w:rPr>
                <w:rFonts w:ascii="Arial" w:eastAsia="Arial" w:hAnsi="Arial" w:cs="Arial"/>
              </w:rPr>
            </w:pPr>
            <w:bookmarkStart w:id="164" w:name="_LINE__12_6f10dbe7_e79d_40fa_a0eb_04a4a7"/>
            <w:r>
              <w:rPr>
                <w:rFonts w:ascii="Arial" w:eastAsia="Arial" w:hAnsi="Arial" w:cs="Arial"/>
              </w:rPr>
              <w:t>__________</w:t>
            </w:r>
            <w:bookmarkEnd w:id="164"/>
          </w:p>
        </w:tc>
        <w:tc>
          <w:tcPr>
            <w:tcW w:w="1469" w:type="dxa"/>
          </w:tcPr>
          <w:p w:rsidR="003C4DE7" w:rsidP="00BA0050">
            <w:pPr>
              <w:spacing w:before="0" w:after="0"/>
              <w:jc w:val="right"/>
              <w:rPr>
                <w:rFonts w:ascii="Arial" w:eastAsia="Arial" w:hAnsi="Arial" w:cs="Arial"/>
              </w:rPr>
            </w:pPr>
            <w:bookmarkStart w:id="165" w:name="_LINE__12_36c1ef73_52dd_449b_aabe_f16ecb"/>
            <w:r>
              <w:rPr>
                <w:rFonts w:ascii="Arial" w:eastAsia="Arial" w:hAnsi="Arial" w:cs="Arial"/>
              </w:rPr>
              <w:t>__________</w:t>
            </w:r>
            <w:bookmarkEnd w:id="165"/>
          </w:p>
        </w:tc>
      </w:tr>
      <w:tr w:rsidTr="00BA0050">
        <w:tblPrEx>
          <w:tblW w:w="0" w:type="auto"/>
          <w:tblInd w:w="360" w:type="dxa"/>
          <w:tblCellMar>
            <w:left w:w="0" w:type="dxa"/>
            <w:right w:w="0" w:type="dxa"/>
          </w:tblCellMar>
          <w:tblLook w:val="04A0"/>
        </w:tblPrEx>
        <w:tc>
          <w:tcPr>
            <w:tcW w:w="5069" w:type="dxa"/>
          </w:tcPr>
          <w:p w:rsidR="003C4DE7" w:rsidP="00BA0050">
            <w:pPr>
              <w:spacing w:before="0" w:after="0"/>
              <w:rPr>
                <w:rFonts w:ascii="Arial" w:eastAsia="Arial" w:hAnsi="Arial" w:cs="Arial"/>
              </w:rPr>
            </w:pPr>
            <w:bookmarkStart w:id="166" w:name="_LINE__13_b4c51eb4_5f61_4f8e_a78c_b3b16a"/>
            <w:r>
              <w:rPr>
                <w:rFonts w:ascii="Arial" w:eastAsia="Arial" w:hAnsi="Arial" w:cs="Arial"/>
                <w:b/>
              </w:rPr>
              <w:t>SECTION TOTAL - ALL FUNDS</w:t>
            </w:r>
            <w:bookmarkEnd w:id="166"/>
          </w:p>
        </w:tc>
        <w:tc>
          <w:tcPr>
            <w:tcW w:w="1469" w:type="dxa"/>
          </w:tcPr>
          <w:p w:rsidR="003C4DE7" w:rsidP="00BA0050">
            <w:pPr>
              <w:spacing w:before="0" w:after="0"/>
              <w:jc w:val="right"/>
              <w:rPr>
                <w:rFonts w:ascii="Arial" w:eastAsia="Arial" w:hAnsi="Arial" w:cs="Arial"/>
              </w:rPr>
            </w:pPr>
            <w:bookmarkStart w:id="167" w:name="_LINE__13_e44cf84b_1889_4ac0_b065_0c27e4"/>
            <w:r>
              <w:rPr>
                <w:rFonts w:ascii="Arial" w:eastAsia="Arial" w:hAnsi="Arial" w:cs="Arial"/>
                <w:b/>
              </w:rPr>
              <w:t>$0</w:t>
            </w:r>
            <w:bookmarkEnd w:id="167"/>
          </w:p>
        </w:tc>
        <w:tc>
          <w:tcPr>
            <w:tcW w:w="1469" w:type="dxa"/>
          </w:tcPr>
          <w:p w:rsidR="003C4DE7" w:rsidP="00BA0050">
            <w:pPr>
              <w:spacing w:before="0" w:after="0"/>
              <w:jc w:val="right"/>
              <w:rPr>
                <w:rFonts w:ascii="Arial" w:eastAsia="Arial" w:hAnsi="Arial" w:cs="Arial"/>
              </w:rPr>
            </w:pPr>
            <w:bookmarkStart w:id="168" w:name="_LINE__13_8c2bd8dc_080b_4b18_9920_8b3a39"/>
            <w:r>
              <w:rPr>
                <w:rFonts w:ascii="Arial" w:eastAsia="Arial" w:hAnsi="Arial" w:cs="Arial"/>
                <w:b/>
              </w:rPr>
              <w:t>$296,608</w:t>
            </w:r>
            <w:bookmarkEnd w:id="168"/>
          </w:p>
        </w:tc>
      </w:tr>
    </w:tbl>
    <w:p w:rsidR="003C4DE7" w:rsidP="003C4DE7">
      <w:pPr>
        <w:ind w:left="360"/>
        <w:rPr>
          <w:rFonts w:ascii="Arial" w:eastAsia="Arial" w:hAnsi="Arial" w:cs="Arial"/>
        </w:rPr>
      </w:pPr>
      <w:bookmarkStart w:id="169" w:name="_PAR__5_e3578742_4add_4752_b1e2_f52f7b79"/>
      <w:bookmarkEnd w:id="150"/>
      <w:r>
        <w:rPr>
          <w:rFonts w:ascii="Arial" w:eastAsia="Arial" w:hAnsi="Arial" w:cs="Arial"/>
        </w:rPr>
        <w:t>'</w:t>
      </w:r>
    </w:p>
    <w:p w:rsidR="003C4DE7" w:rsidP="003C4DE7">
      <w:pPr>
        <w:ind w:left="360" w:firstLine="360"/>
        <w:rPr>
          <w:rFonts w:ascii="Arial" w:eastAsia="Arial" w:hAnsi="Arial" w:cs="Arial"/>
        </w:rPr>
      </w:pPr>
      <w:bookmarkStart w:id="170" w:name="_INSTRUCTION__8294dede_05b6_40e0_bc99_ba"/>
      <w:bookmarkStart w:id="171" w:name="_PAR__6_28e13e6e_7680_40ca_bb3e_24865572"/>
      <w:bookmarkEnd w:id="14"/>
      <w:bookmarkEnd w:id="169"/>
      <w:r>
        <w:rPr>
          <w:rFonts w:ascii="Arial" w:eastAsia="Arial" w:hAnsi="Arial" w:cs="Arial"/>
        </w:rPr>
        <w:t>Amend the bill by relettering or renumbering any nonconsecutive Part letter or section number to read consecutively.</w:t>
      </w:r>
    </w:p>
    <w:p w:rsidR="003C4DE7" w:rsidP="003C4DE7">
      <w:pPr>
        <w:keepNext/>
        <w:spacing w:before="240"/>
        <w:ind w:left="360"/>
        <w:jc w:val="center"/>
        <w:rPr>
          <w:rFonts w:ascii="Arial" w:eastAsia="Arial" w:hAnsi="Arial" w:cs="Arial"/>
        </w:rPr>
      </w:pPr>
      <w:bookmarkStart w:id="172" w:name="_SUMMARY__29c72fc1_bb32_4a9b_8bd2_061cff"/>
      <w:bookmarkStart w:id="173" w:name="_PAR__7_9faf258e_db3e_4904_b79e_42189a52"/>
      <w:bookmarkEnd w:id="170"/>
      <w:bookmarkEnd w:id="171"/>
      <w:r>
        <w:rPr>
          <w:rFonts w:ascii="Arial" w:eastAsia="Arial" w:hAnsi="Arial" w:cs="Arial"/>
          <w:b/>
          <w:sz w:val="24"/>
        </w:rPr>
        <w:t>SUMMARY</w:t>
      </w:r>
    </w:p>
    <w:p w:rsidR="003C4DE7" w:rsidP="003C4DE7">
      <w:pPr>
        <w:ind w:left="360" w:firstLine="360"/>
        <w:rPr>
          <w:rFonts w:ascii="Arial" w:eastAsia="Arial" w:hAnsi="Arial" w:cs="Arial"/>
        </w:rPr>
      </w:pPr>
      <w:bookmarkStart w:id="174" w:name="_PAR__8_661dd9e9_02da_4b11_b697_261d07ec"/>
      <w:bookmarkEnd w:id="173"/>
      <w:r>
        <w:rPr>
          <w:rFonts w:ascii="Arial" w:eastAsia="Arial" w:hAnsi="Arial" w:cs="Arial"/>
        </w:rPr>
        <w:t xml:space="preserve">This amendment replaces the bill, which is a concept draft, and changes the title. </w:t>
      </w:r>
    </w:p>
    <w:p w:rsidR="003C4DE7" w:rsidP="003C4DE7">
      <w:pPr>
        <w:ind w:left="360" w:firstLine="360"/>
        <w:rPr>
          <w:rFonts w:ascii="Arial" w:eastAsia="Arial" w:hAnsi="Arial" w:cs="Arial"/>
        </w:rPr>
      </w:pPr>
      <w:bookmarkStart w:id="175" w:name="_PAR__9_51ce6fb2_53e7_4301_b468_c122698b"/>
      <w:bookmarkEnd w:id="174"/>
      <w:r>
        <w:rPr>
          <w:rFonts w:ascii="Arial" w:eastAsia="Arial" w:hAnsi="Arial" w:cs="Arial"/>
        </w:rPr>
        <w:t xml:space="preserve">It establishes a temporary suspension on the authority of a municipality, a quasi-municipal entity or any agency of the State, prior to November 1, 2027, to accept an application for or to issue, approve or make finally effective a permit, certificate, license, lease authorization or other approval for the development, construction or operation of a data center with an electric demand of 20 megawatts or more, other than a data center that has received an exemption order from the Public Utilities Commission. To receive an exemption order, a developer or operator of a data center must demonstrate that it has met certain criteria.  </w:t>
      </w:r>
    </w:p>
    <w:p w:rsidR="003C4DE7" w:rsidP="003C4DE7">
      <w:pPr>
        <w:ind w:left="360" w:firstLine="360"/>
        <w:rPr>
          <w:rFonts w:ascii="Arial" w:eastAsia="Arial" w:hAnsi="Arial" w:cs="Arial"/>
        </w:rPr>
      </w:pPr>
      <w:bookmarkStart w:id="176" w:name="_PAR__10_37cdb7af_f032_4d18_b949_2ca90a8"/>
      <w:bookmarkEnd w:id="175"/>
      <w:r>
        <w:rPr>
          <w:rFonts w:ascii="Arial" w:eastAsia="Arial" w:hAnsi="Arial" w:cs="Arial"/>
        </w:rPr>
        <w:t>The amendment also prohibits a state agency or quasi-independent entity from approving, awarding or disbursing state-funded financial incentives, grants, loans, refundable or transferable tax credits or other discretionary economic development benefits for a data center with an electric demand of 20 megawatts or more prior to November 1, 2027. This prohibition does not apply to incentives that were finally approved and legally binding prior to the effective date of this legislation.</w:t>
      </w:r>
    </w:p>
    <w:p w:rsidR="003C4DE7" w:rsidP="003C4DE7">
      <w:pPr>
        <w:keepNext/>
        <w:ind w:left="360" w:firstLine="360"/>
        <w:rPr>
          <w:rFonts w:ascii="Arial" w:eastAsia="Arial" w:hAnsi="Arial" w:cs="Arial"/>
        </w:rPr>
      </w:pPr>
      <w:bookmarkStart w:id="177" w:name="_PAR__11_e54a5077_29f3_4eca_a8aa_a90a23c"/>
      <w:bookmarkEnd w:id="176"/>
      <w:r>
        <w:rPr>
          <w:rFonts w:ascii="Arial" w:eastAsia="Arial" w:hAnsi="Arial" w:cs="Arial"/>
        </w:rPr>
        <w:t>The amendment also requires the Department of Energy Resources to convene the Maine Data Center Coordination Council to provide strategic input, facilitate coordinated state planning considerations and evaluate policy tools to address data center opportunities and related benefits and risks to the State. By February 1, 2027, the council is required to submit a final strategy report, including the findings of its evaluation and recommendations, to the Governor and the joint standing committee of the Legislature having jurisdiction over energy matters.</w:t>
      </w:r>
    </w:p>
    <w:p w:rsidR="003C4DE7" w:rsidP="003C4DE7">
      <w:pPr>
        <w:keepNext/>
        <w:spacing w:before="60" w:after="60"/>
        <w:ind w:left="360"/>
        <w:jc w:val="center"/>
        <w:rPr>
          <w:rFonts w:ascii="Arial" w:eastAsia="Arial" w:hAnsi="Arial" w:cs="Arial"/>
        </w:rPr>
      </w:pPr>
      <w:bookmarkStart w:id="178" w:name="_FISCAL_NOTE_REQUIRED__99393137_7249_482"/>
      <w:bookmarkStart w:id="179" w:name="_PAR__12_47f68045_d490_4cfd_9956_eae3645"/>
      <w:bookmarkEnd w:id="177"/>
      <w:r>
        <w:rPr>
          <w:rFonts w:ascii="Arial" w:eastAsia="Arial" w:hAnsi="Arial" w:cs="Arial"/>
          <w:b/>
        </w:rPr>
        <w:t>FISCAL NOTE REQUIRED</w:t>
      </w:r>
    </w:p>
    <w:p w:rsidR="00000000" w:rsidRPr="003C4DE7" w:rsidP="003C4DE7">
      <w:pPr>
        <w:spacing w:before="60" w:after="60"/>
        <w:ind w:left="360"/>
        <w:jc w:val="center"/>
        <w:rPr>
          <w:rFonts w:ascii="Arial" w:eastAsia="Arial" w:hAnsi="Arial" w:cs="Arial"/>
          <w:b/>
        </w:rPr>
      </w:pPr>
      <w:bookmarkStart w:id="180" w:name="_PAR__13_4bb0acee_36a9_496b_a901_1a53470"/>
      <w:bookmarkEnd w:id="179"/>
      <w:r>
        <w:rPr>
          <w:rFonts w:ascii="Arial" w:eastAsia="Arial" w:hAnsi="Arial" w:cs="Arial"/>
          <w:b/>
        </w:rPr>
        <w:t>(See attached)</w:t>
      </w:r>
      <w:bookmarkEnd w:id="129"/>
      <w:bookmarkEnd w:id="172"/>
      <w:bookmarkEnd w:id="178"/>
      <w:bookmarkEnd w:id="180"/>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LR1521, item 3 - 132nd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Establish the Maine Data Center Coordination Council and Place a Temporary Limitation on Certain Data Centers</w:t>
    </w:r>
  </w:p>
  <w:p>
    <w:pPr>
      <w:suppressLineNumbers/>
      <w:spacing w:before="0" w:after="0"/>
      <w:jc w:val="center"/>
      <w:rPr>
        <w:rFonts w:ascii="Arial" w:eastAsia="Arial" w:hAnsi="Arial" w:cs="Arial"/>
      </w:rPr>
    </w:pPr>
    <w:r>
      <w:rPr>
        <w:rFonts w:ascii="Arial" w:eastAsia="Arial" w:hAnsi="Arial" w:cs="Arial"/>
        <w:sz w:val="22"/>
      </w:rPr>
      <w:t>L.D. 307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C4DE7"/>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C2979"/>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A0050"/>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