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Governing Severance Pay to Cover More Types of Employers and Include More Workers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16 - L.D. 12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Amend the Laws Governing Severance Pay to Cover More Types of Employers and Include More Workers</w:t>
      </w:r>
    </w:p>
    <w:p w:rsidR="003C3A2F" w:rsidP="003C3A2F">
      <w:pPr>
        <w:ind w:left="360"/>
        <w:rPr>
          <w:rFonts w:ascii="Arial" w:eastAsia="Arial" w:hAnsi="Arial" w:cs="Arial"/>
        </w:rPr>
      </w:pPr>
      <w:bookmarkStart w:id="0" w:name="_ENACTING_CLAUSE__cb94face_6550_4613_967"/>
      <w:bookmarkStart w:id="1" w:name="_PAR__1_8f425bba_62ff_45a0_bd70_051b055e"/>
      <w:bookmarkStart w:id="2" w:name="_DOC_BODY_CONTAINER__312060eb_e4f9_49f0_"/>
      <w:r>
        <w:rPr>
          <w:rFonts w:ascii="Arial" w:eastAsia="Arial" w:hAnsi="Arial" w:cs="Arial"/>
          <w:b/>
        </w:rPr>
        <w:t>Be it enacted by the People of the State of Maine as follows:</w:t>
      </w:r>
    </w:p>
    <w:p w:rsidR="003C3A2F" w:rsidP="003C3A2F">
      <w:pPr>
        <w:ind w:left="360" w:firstLine="360"/>
        <w:rPr>
          <w:rFonts w:ascii="Arial" w:eastAsia="Arial" w:hAnsi="Arial" w:cs="Arial"/>
        </w:rPr>
      </w:pPr>
      <w:bookmarkStart w:id="3" w:name="_BILL_SECTION_HEADER__37aaec36_1f9f_4b89"/>
      <w:bookmarkStart w:id="4" w:name="_PAR__2_14ee0906_8d3f_405c_ad82_3db9e2f1"/>
      <w:bookmarkStart w:id="5" w:name="_BILL_SECTION__9802430f_f181_4530_8dff_c"/>
      <w:bookmarkStart w:id="6" w:name="_DOC_BODY_CONTENT__d78c0295_09a2_4404_bd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812abca7_85ac_4afa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26 MRSA §625-B, sub-§1, ¶A,</w:t>
      </w:r>
      <w:r>
        <w:rPr>
          <w:rFonts w:ascii="Arial" w:eastAsia="Arial" w:hAnsi="Arial" w:cs="Arial"/>
        </w:rPr>
        <w:t xml:space="preserve"> as amended by PL 2015, c. 417, §1, is further amended to read:</w:t>
      </w:r>
    </w:p>
    <w:p w:rsidR="003C3A2F" w:rsidP="003C3A2F">
      <w:pPr>
        <w:ind w:left="720"/>
        <w:rPr>
          <w:rFonts w:ascii="Arial" w:eastAsia="Arial" w:hAnsi="Arial" w:cs="Arial"/>
        </w:rPr>
      </w:pPr>
      <w:bookmarkStart w:id="8" w:name="_STATUTE_NUMBER__1415e48d_ac2b_48f0_8ce8"/>
      <w:bookmarkStart w:id="9" w:name="_STATUTE_P__a53dcc5d_4642_4f08_9676_7cb5"/>
      <w:bookmarkStart w:id="10" w:name="_PAR__3_d603ce60_bf9c_4239_b1ba_b9ad56b4"/>
      <w:bookmarkEnd w:id="3"/>
      <w:bookmarkEnd w:id="4"/>
      <w:r>
        <w:rPr>
          <w:rFonts w:ascii="Arial" w:eastAsia="Arial" w:hAnsi="Arial" w:cs="Arial"/>
        </w:rPr>
        <w:t>A</w:t>
      </w:r>
      <w:bookmarkEnd w:id="8"/>
      <w:r>
        <w:rPr>
          <w:rFonts w:ascii="Arial" w:eastAsia="Arial" w:hAnsi="Arial" w:cs="Arial"/>
        </w:rPr>
        <w:t xml:space="preserve">.  </w:t>
      </w:r>
      <w:bookmarkStart w:id="11" w:name="_STATUTE_CONTENT__69a0f70f_378b_4864_ac2"/>
      <w:r>
        <w:rPr>
          <w:rFonts w:ascii="Arial" w:eastAsia="Arial" w:hAnsi="Arial" w:cs="Arial"/>
        </w:rPr>
        <w:t xml:space="preserve">"Covered establishment" means any </w:t>
      </w:r>
      <w:r>
        <w:rPr>
          <w:rFonts w:ascii="Arial" w:eastAsia="Arial" w:hAnsi="Arial" w:cs="Arial"/>
          <w:strike/>
        </w:rPr>
        <w:t>industrial or commercial</w:t>
      </w:r>
      <w:r>
        <w:rPr>
          <w:rFonts w:ascii="Arial" w:eastAsia="Arial" w:hAnsi="Arial" w:cs="Arial"/>
        </w:rPr>
        <w:t xml:space="preserve"> facility or part thereof that employs or has employed at any time in the preceding 12-month period 100 or more persons.</w:t>
      </w:r>
      <w:bookmarkEnd w:id="11"/>
    </w:p>
    <w:p w:rsidR="003C3A2F" w:rsidP="003C3A2F">
      <w:pPr>
        <w:ind w:left="360" w:firstLine="360"/>
        <w:rPr>
          <w:rFonts w:ascii="Arial" w:eastAsia="Arial" w:hAnsi="Arial" w:cs="Arial"/>
        </w:rPr>
      </w:pPr>
      <w:bookmarkStart w:id="12" w:name="_BILL_SECTION_HEADER__644c96c4_b44f_4d78"/>
      <w:bookmarkStart w:id="13" w:name="_PAR__4_9dd5de35_1eba_4321_ad3d_7e613955"/>
      <w:bookmarkStart w:id="14" w:name="_BILL_SECTION__32eba0b2_fce4_46ab_b380_f"/>
      <w:bookmarkEnd w:id="5"/>
      <w:bookmarkEnd w:id="9"/>
      <w:bookmarkEnd w:id="10"/>
      <w:r>
        <w:rPr>
          <w:rFonts w:ascii="Arial" w:eastAsia="Arial" w:hAnsi="Arial" w:cs="Arial"/>
          <w:b/>
          <w:sz w:val="24"/>
        </w:rPr>
        <w:t xml:space="preserve">Sec. </w:t>
      </w:r>
      <w:bookmarkStart w:id="15" w:name="_BILL_SECTION_NUMBER__4db9c3e1_d377_474f"/>
      <w:r>
        <w:rPr>
          <w:rFonts w:ascii="Arial" w:eastAsia="Arial" w:hAnsi="Arial" w:cs="Arial"/>
          <w:b/>
          <w:sz w:val="24"/>
        </w:rPr>
        <w:t>2</w:t>
      </w:r>
      <w:bookmarkEnd w:id="15"/>
      <w:r>
        <w:rPr>
          <w:rFonts w:ascii="Arial" w:eastAsia="Arial" w:hAnsi="Arial" w:cs="Arial"/>
          <w:b/>
          <w:sz w:val="24"/>
        </w:rPr>
        <w:t>.  26 MRSA §625-B, sub-§1, ¶A-1,</w:t>
      </w:r>
      <w:r>
        <w:rPr>
          <w:rFonts w:ascii="Arial" w:eastAsia="Arial" w:hAnsi="Arial" w:cs="Arial"/>
        </w:rPr>
        <w:t xml:space="preserve"> as enacted by PL 2015, c. 417, §1, is amended to read:</w:t>
      </w:r>
    </w:p>
    <w:p w:rsidR="003C3A2F" w:rsidP="003C3A2F">
      <w:pPr>
        <w:ind w:left="720"/>
        <w:rPr>
          <w:rFonts w:ascii="Arial" w:eastAsia="Arial" w:hAnsi="Arial" w:cs="Arial"/>
        </w:rPr>
      </w:pPr>
      <w:bookmarkStart w:id="16" w:name="_STATUTE_NUMBER__e4caf38e_e5e4_4347_81c9"/>
      <w:bookmarkStart w:id="17" w:name="_STATUTE_P__3b1c0c35_8da8_486d_ba5f_e5aa"/>
      <w:bookmarkStart w:id="18" w:name="_PAR__5_501c0584_9553_4294_88c6_621bb14f"/>
      <w:bookmarkEnd w:id="12"/>
      <w:bookmarkEnd w:id="13"/>
      <w:r>
        <w:rPr>
          <w:rFonts w:ascii="Arial" w:eastAsia="Arial" w:hAnsi="Arial" w:cs="Arial"/>
        </w:rPr>
        <w:t>A-1</w:t>
      </w:r>
      <w:bookmarkEnd w:id="16"/>
      <w:r>
        <w:rPr>
          <w:rFonts w:ascii="Arial" w:eastAsia="Arial" w:hAnsi="Arial" w:cs="Arial"/>
        </w:rPr>
        <w:t xml:space="preserve">.  </w:t>
      </w:r>
      <w:bookmarkStart w:id="19" w:name="_STATUTE_CONTENT__2cb44144_5398_425e_8ec"/>
      <w:r>
        <w:rPr>
          <w:rFonts w:ascii="Arial" w:eastAsia="Arial" w:hAnsi="Arial" w:cs="Arial"/>
        </w:rPr>
        <w:t xml:space="preserve">"Closing" means the permanent shutdown of </w:t>
      </w:r>
      <w:r>
        <w:rPr>
          <w:rFonts w:ascii="Arial" w:eastAsia="Arial" w:hAnsi="Arial" w:cs="Arial"/>
          <w:strike/>
        </w:rPr>
        <w:t>industrial or commercial</w:t>
      </w:r>
      <w:r>
        <w:rPr>
          <w:rFonts w:ascii="Arial" w:eastAsia="Arial" w:hAnsi="Arial" w:cs="Arial"/>
        </w:rPr>
        <w:t xml:space="preserve"> operations at a covered establishment.  A closing may occur due to relocation</w:t>
      </w:r>
      <w:bookmarkStart w:id="20" w:name="_ENGROSSING_REV__83f8e40f_5497_4a61_b6a3"/>
      <w:r>
        <w:rPr>
          <w:rFonts w:ascii="Arial" w:eastAsia="Arial" w:hAnsi="Arial" w:cs="Arial"/>
          <w:strike/>
        </w:rPr>
        <w:t>,</w:t>
      </w:r>
      <w:r>
        <w:rPr>
          <w:rFonts w:ascii="Arial" w:eastAsia="Arial" w:hAnsi="Arial" w:cs="Arial"/>
        </w:rPr>
        <w:t xml:space="preserve"> </w:t>
      </w:r>
      <w:bookmarkStart w:id="21" w:name="_ENGROSSING_REV__42d7b3bd_4b8b_4c2d_90a9"/>
      <w:bookmarkStart w:id="22" w:name="_REV__a472326c_77d5_446a_b70a_772c8c9b51"/>
      <w:bookmarkStart w:id="23" w:name="_PROCESSED_CHANGE__adde6b70_5e70_4bc7_ad"/>
      <w:bookmarkStart w:id="24" w:name="_PROCESSED_CHANGE__3f255861_9d02_43d0_b7"/>
      <w:bookmarkEnd w:id="20"/>
      <w:bookmarkEnd w:id="21"/>
      <w:r>
        <w:rPr>
          <w:rFonts w:ascii="Arial" w:eastAsia="Arial" w:hAnsi="Arial" w:cs="Arial"/>
          <w:u w:val="single"/>
        </w:rPr>
        <w:t>or</w:t>
      </w:r>
      <w:bookmarkEnd w:id="22"/>
      <w:bookmarkEnd w:id="23"/>
      <w:bookmarkEnd w:id="24"/>
      <w:r>
        <w:rPr>
          <w:rFonts w:ascii="Arial" w:eastAsia="Arial" w:hAnsi="Arial" w:cs="Arial"/>
        </w:rPr>
        <w:t xml:space="preserve"> termination</w:t>
      </w:r>
      <w:bookmarkStart w:id="25" w:name="_ENGROSSING_REV__6f7748c4_58a6_4501_90f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 consolidation</w:t>
      </w:r>
      <w:bookmarkEnd w:id="25"/>
      <w:r>
        <w:rPr>
          <w:rFonts w:ascii="Arial" w:eastAsia="Arial" w:hAnsi="Arial" w:cs="Arial"/>
        </w:rPr>
        <w:t xml:space="preserve"> of the employer's business.</w:t>
      </w:r>
      <w:bookmarkEnd w:id="19"/>
    </w:p>
    <w:p w:rsidR="003C3A2F" w:rsidP="003C3A2F">
      <w:pPr>
        <w:ind w:left="360" w:firstLine="360"/>
        <w:rPr>
          <w:rFonts w:ascii="Arial" w:eastAsia="Arial" w:hAnsi="Arial" w:cs="Arial"/>
        </w:rPr>
      </w:pPr>
      <w:bookmarkStart w:id="26" w:name="_BILL_SECTION_HEADER__53b97482_991f_438a"/>
      <w:bookmarkStart w:id="27" w:name="_PAR__6_88948752_aa90_410f_883f_2952732d"/>
      <w:bookmarkStart w:id="28" w:name="_BILL_SECTION__0d1d8d85_5ada_42db_81de_3"/>
      <w:bookmarkEnd w:id="14"/>
      <w:bookmarkEnd w:id="17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1553b041_3eb3_472a"/>
      <w:r>
        <w:rPr>
          <w:rFonts w:ascii="Arial" w:eastAsia="Arial" w:hAnsi="Arial" w:cs="Arial"/>
          <w:b/>
          <w:sz w:val="24"/>
        </w:rPr>
        <w:t>3</w:t>
      </w:r>
      <w:bookmarkEnd w:id="29"/>
      <w:r>
        <w:rPr>
          <w:rFonts w:ascii="Arial" w:eastAsia="Arial" w:hAnsi="Arial" w:cs="Arial"/>
          <w:b/>
          <w:sz w:val="24"/>
        </w:rPr>
        <w:t>.  26 MRSA §625-B, sub-§1, ¶F,</w:t>
      </w:r>
      <w:r>
        <w:rPr>
          <w:rFonts w:ascii="Arial" w:eastAsia="Arial" w:hAnsi="Arial" w:cs="Arial"/>
        </w:rPr>
        <w:t xml:space="preserve"> as enacted by PL 1979, c. 663, §157, is amended to read:</w:t>
      </w:r>
    </w:p>
    <w:p w:rsidR="00000000" w:rsidP="003C3A2F">
      <w:pPr>
        <w:ind w:left="720"/>
        <w:rPr>
          <w:rFonts w:ascii="Arial" w:eastAsia="Arial" w:hAnsi="Arial" w:cs="Arial"/>
        </w:rPr>
      </w:pPr>
      <w:bookmarkStart w:id="30" w:name="_STATUTE_NUMBER__c6eae895_4a93_47b1_9734"/>
      <w:bookmarkStart w:id="31" w:name="_PAR__7_07d1bb19_b9eb_4eba_8ab9_3ef70b91"/>
      <w:bookmarkStart w:id="32" w:name="_STATUTE_P__967b3eba_65f4_4641_a776_e28c"/>
      <w:bookmarkEnd w:id="26"/>
      <w:bookmarkEnd w:id="27"/>
      <w:r>
        <w:rPr>
          <w:rFonts w:ascii="Arial" w:eastAsia="Arial" w:hAnsi="Arial" w:cs="Arial"/>
        </w:rPr>
        <w:t>F</w:t>
      </w:r>
      <w:bookmarkEnd w:id="30"/>
      <w:r>
        <w:rPr>
          <w:rFonts w:ascii="Arial" w:eastAsia="Arial" w:hAnsi="Arial" w:cs="Arial"/>
        </w:rPr>
        <w:t xml:space="preserve">.  </w:t>
      </w:r>
      <w:bookmarkStart w:id="33" w:name="_STATUTE_CONTENT__97dbe75e_f69f_4e96_ab7"/>
      <w:r>
        <w:rPr>
          <w:rFonts w:ascii="Arial" w:eastAsia="Arial" w:hAnsi="Arial" w:cs="Arial"/>
        </w:rPr>
        <w:t xml:space="preserve">"Relocation" means the removal of all or substantially all of </w:t>
      </w:r>
      <w:r>
        <w:rPr>
          <w:rFonts w:ascii="Arial" w:eastAsia="Arial" w:hAnsi="Arial" w:cs="Arial"/>
          <w:strike/>
        </w:rPr>
        <w:t>industrial or commercial</w:t>
      </w:r>
      <w:r>
        <w:rPr>
          <w:rFonts w:ascii="Arial" w:eastAsia="Arial" w:hAnsi="Arial" w:cs="Arial"/>
        </w:rPr>
        <w:t xml:space="preserve"> operations in a covered establishment to a new location, within or without the State of Maine, 100 or more miles distant from its original location.</w:t>
      </w:r>
      <w:bookmarkEnd w:id="33"/>
      <w:bookmarkEnd w:id="2"/>
      <w:bookmarkEnd w:id="6"/>
      <w:bookmarkEnd w:id="28"/>
      <w:bookmarkEnd w:id="31"/>
      <w:bookmarkEnd w:id="3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LR0127,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Governing Severance Pay to Cover More Types of Employers and Include More Workers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C3A2F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