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Supplemental Appropriations and Allocations for the Expenditures of State Government, General Fund and Other Funds and to Change Certain Provisions of the Law Necessary to the Proper Operations of State Government for the Fiscal Years Ending June 30, 2024 and June 30, 2025</w:t>
      </w:r>
    </w:p>
    <w:p w:rsidR="0073350C" w:rsidP="0073350C">
      <w:pPr>
        <w:spacing w:after="240"/>
        <w:ind w:left="360"/>
        <w:jc w:val="right"/>
        <w:rPr>
          <w:rFonts w:ascii="Arial" w:eastAsia="Arial" w:hAnsi="Arial" w:cs="Arial"/>
          <w:caps/>
        </w:rPr>
      </w:pPr>
      <w:bookmarkStart w:id="0" w:name="_AMEND_TITLE__dcf883b3_8d54_4a9d_8ded_09"/>
      <w:bookmarkStart w:id="1" w:name="_PAGE__1_e526622c_b119_493e_b989_68c6f3e"/>
      <w:bookmarkStart w:id="2" w:name="_PAR__2_53b5cc85_659e_4173_9f16_47417283"/>
      <w:r>
        <w:rPr>
          <w:rFonts w:ascii="Arial" w:eastAsia="Arial" w:hAnsi="Arial" w:cs="Arial"/>
          <w:caps/>
        </w:rPr>
        <w:t>L.D. 2214</w:t>
      </w:r>
    </w:p>
    <w:p w:rsidR="0073350C" w:rsidP="0073350C">
      <w:pPr>
        <w:tabs>
          <w:tab w:val="right" w:pos="8928"/>
        </w:tabs>
        <w:spacing w:after="360"/>
        <w:ind w:left="360"/>
        <w:rPr>
          <w:rFonts w:ascii="Arial" w:eastAsia="Arial" w:hAnsi="Arial" w:cs="Arial"/>
        </w:rPr>
      </w:pPr>
      <w:bookmarkStart w:id="3" w:name="_PAR__3_8b177d64_5c97_4e0a_ae2f_0b31ad98"/>
      <w:bookmarkEnd w:id="2"/>
      <w:r>
        <w:rPr>
          <w:rFonts w:ascii="Arial" w:eastAsia="Arial" w:hAnsi="Arial" w:cs="Arial"/>
        </w:rPr>
        <w:t>Date:</w:t>
      </w:r>
      <w:r>
        <w:rPr>
          <w:rFonts w:ascii="Arial" w:eastAsia="Arial" w:hAnsi="Arial" w:cs="Arial"/>
        </w:rPr>
        <w:tab/>
        <w:t>(Filing No. S-         )</w:t>
      </w:r>
    </w:p>
    <w:p w:rsidR="0073350C" w:rsidP="0073350C">
      <w:pPr>
        <w:spacing w:before="60" w:after="60"/>
        <w:ind w:left="720"/>
        <w:rPr>
          <w:rFonts w:ascii="Arial" w:eastAsia="Arial" w:hAnsi="Arial" w:cs="Arial"/>
        </w:rPr>
      </w:pPr>
      <w:bookmarkStart w:id="4" w:name="_PAR__4_255e4702_6802_4e0f_abea_691fa75f"/>
      <w:bookmarkEnd w:id="3"/>
      <w:r>
        <w:rPr>
          <w:rFonts w:ascii="Arial" w:eastAsia="Arial" w:hAnsi="Arial" w:cs="Arial"/>
        </w:rPr>
        <w:t>Reproduced and distributed under the direction of the Secretary of the Senate.</w:t>
      </w:r>
    </w:p>
    <w:p w:rsidR="0073350C" w:rsidP="0073350C">
      <w:pPr>
        <w:spacing w:before="160" w:after="0"/>
        <w:ind w:left="360"/>
        <w:jc w:val="center"/>
        <w:outlineLvl w:val="0"/>
        <w:rPr>
          <w:rFonts w:ascii="Arial" w:eastAsia="Arial" w:hAnsi="Arial" w:cs="Arial"/>
          <w:b/>
          <w:caps/>
          <w:sz w:val="24"/>
          <w:szCs w:val="32"/>
        </w:rPr>
      </w:pPr>
      <w:bookmarkStart w:id="5" w:name="_PAR__5_5e4bc332_e23c_4e4c_ba0f_e448ca1e"/>
      <w:bookmarkEnd w:id="4"/>
      <w:r>
        <w:rPr>
          <w:rFonts w:ascii="Arial" w:eastAsia="Arial" w:hAnsi="Arial" w:cs="Arial"/>
          <w:b/>
          <w:caps/>
          <w:sz w:val="24"/>
          <w:szCs w:val="32"/>
        </w:rPr>
        <w:t>STATE OF MAINE</w:t>
      </w:r>
    </w:p>
    <w:p w:rsidR="0073350C" w:rsidP="0073350C">
      <w:pPr>
        <w:spacing w:after="0"/>
        <w:ind w:left="360"/>
        <w:jc w:val="center"/>
        <w:outlineLvl w:val="0"/>
        <w:rPr>
          <w:rFonts w:ascii="Arial" w:eastAsia="Arial" w:hAnsi="Arial" w:cs="Arial"/>
          <w:b/>
          <w:caps/>
          <w:sz w:val="24"/>
          <w:szCs w:val="32"/>
        </w:rPr>
      </w:pPr>
      <w:bookmarkStart w:id="6" w:name="_PAR__6_70b90554_4929_4a0b_805a_ccee20c2"/>
      <w:bookmarkEnd w:id="5"/>
      <w:r>
        <w:rPr>
          <w:rFonts w:ascii="Arial" w:eastAsia="Arial" w:hAnsi="Arial" w:cs="Arial"/>
          <w:b/>
          <w:caps/>
          <w:sz w:val="24"/>
          <w:szCs w:val="32"/>
        </w:rPr>
        <w:t>SENATE</w:t>
      </w:r>
    </w:p>
    <w:p w:rsidR="0073350C" w:rsidP="0073350C">
      <w:pPr>
        <w:spacing w:after="0"/>
        <w:ind w:left="360"/>
        <w:jc w:val="center"/>
        <w:outlineLvl w:val="0"/>
        <w:rPr>
          <w:rFonts w:ascii="Arial" w:eastAsia="Arial" w:hAnsi="Arial" w:cs="Arial"/>
          <w:b/>
          <w:caps/>
          <w:sz w:val="24"/>
          <w:szCs w:val="32"/>
        </w:rPr>
      </w:pPr>
      <w:bookmarkStart w:id="7" w:name="_PAR__7_6dd166f9_8dde_419a_abc8_255577d8"/>
      <w:bookmarkEnd w:id="6"/>
      <w:r>
        <w:rPr>
          <w:rFonts w:ascii="Arial" w:eastAsia="Arial" w:hAnsi="Arial" w:cs="Arial"/>
          <w:b/>
          <w:caps/>
          <w:sz w:val="24"/>
          <w:szCs w:val="32"/>
        </w:rPr>
        <w:t>131st Legislature</w:t>
      </w:r>
    </w:p>
    <w:p w:rsidR="0073350C" w:rsidP="0073350C">
      <w:pPr>
        <w:spacing w:after="0"/>
        <w:ind w:left="360"/>
        <w:jc w:val="center"/>
        <w:outlineLvl w:val="0"/>
        <w:rPr>
          <w:rFonts w:ascii="Arial" w:eastAsia="Arial" w:hAnsi="Arial" w:cs="Arial"/>
          <w:b/>
          <w:caps/>
          <w:sz w:val="24"/>
          <w:szCs w:val="32"/>
        </w:rPr>
      </w:pPr>
      <w:bookmarkStart w:id="8" w:name="_PAR__8_0fd67d39_dba8_4996_9c27_2ed01c54"/>
      <w:bookmarkEnd w:id="7"/>
      <w:r>
        <w:rPr>
          <w:rFonts w:ascii="Arial" w:eastAsia="Arial" w:hAnsi="Arial" w:cs="Arial"/>
          <w:b/>
          <w:caps/>
          <w:sz w:val="24"/>
          <w:szCs w:val="32"/>
        </w:rPr>
        <w:t>Second Regular Session</w:t>
      </w:r>
    </w:p>
    <w:p w:rsidR="0073350C" w:rsidP="0073350C">
      <w:pPr>
        <w:spacing w:before="400" w:after="200"/>
        <w:ind w:left="360" w:firstLine="360"/>
        <w:rPr>
          <w:rFonts w:ascii="Arial" w:eastAsia="Arial" w:hAnsi="Arial" w:cs="Arial"/>
        </w:rPr>
      </w:pPr>
      <w:bookmarkStart w:id="9" w:name="_PAR__9_fb0d1b1b_4690_4447_ae00_80fcefb2"/>
      <w:bookmarkEnd w:id="8"/>
      <w:r>
        <w:rPr>
          <w:rFonts w:ascii="Arial" w:eastAsia="Arial" w:hAnsi="Arial" w:cs="Arial"/>
          <w:szCs w:val="22"/>
        </w:rPr>
        <w:t>SENATE AMENDMENT “      ” to COMMITTEE AMENDMENT “A” to H.P. 1420, L.D. 2214, “An Act to Make Supplemental Appropriations and Allocations for the Expenditures of State Government, General Fund and Other Funds and to Change Certain Provisions of the Law Necessary to the Proper Operations of State Government for the Fiscal Years Ending June 30, 2024 and June 30, 2025”</w:t>
      </w:r>
    </w:p>
    <w:p w:rsidR="0073350C" w:rsidP="0073350C">
      <w:pPr>
        <w:ind w:left="360" w:firstLine="360"/>
        <w:rPr>
          <w:rFonts w:ascii="Arial" w:eastAsia="Arial" w:hAnsi="Arial" w:cs="Arial"/>
        </w:rPr>
      </w:pPr>
      <w:bookmarkStart w:id="10" w:name="_INSTRUCTION__eccd0144_48c9_4616_a2ea_3f"/>
      <w:bookmarkStart w:id="11" w:name="_PAR__10_a699fdd6_39ee_420e_814f_fd44483"/>
      <w:bookmarkEnd w:id="0"/>
      <w:bookmarkEnd w:id="9"/>
      <w:r>
        <w:rPr>
          <w:rFonts w:ascii="Arial" w:eastAsia="Arial" w:hAnsi="Arial" w:cs="Arial"/>
        </w:rPr>
        <w:t>Amend the amendment by inserting after Part TTTT the following:</w:t>
      </w:r>
    </w:p>
    <w:p w:rsidR="0073350C" w:rsidP="0073350C">
      <w:pPr>
        <w:ind w:left="360"/>
        <w:jc w:val="center"/>
        <w:rPr>
          <w:rFonts w:ascii="Arial" w:eastAsia="Arial" w:hAnsi="Arial" w:cs="Arial"/>
        </w:rPr>
      </w:pPr>
      <w:bookmarkStart w:id="12" w:name="_PAR__11_9263219b_7f43_4e35_96c4_b620b5c"/>
      <w:bookmarkEnd w:id="11"/>
      <w:r>
        <w:rPr>
          <w:rFonts w:ascii="Arial" w:eastAsia="Arial" w:hAnsi="Arial" w:cs="Arial"/>
        </w:rPr>
        <w:t>'</w:t>
      </w:r>
      <w:r>
        <w:rPr>
          <w:rFonts w:ascii="Arial" w:eastAsia="Arial" w:hAnsi="Arial" w:cs="Arial"/>
          <w:b/>
          <w:sz w:val="24"/>
        </w:rPr>
        <w:t>PART UUUU</w:t>
      </w:r>
    </w:p>
    <w:p w:rsidR="0073350C" w:rsidP="0073350C">
      <w:pPr>
        <w:ind w:left="360" w:firstLine="360"/>
        <w:rPr>
          <w:rFonts w:ascii="Arial" w:eastAsia="Arial" w:hAnsi="Arial" w:cs="Arial"/>
        </w:rPr>
      </w:pPr>
      <w:bookmarkStart w:id="13" w:name="_PAR__12_55f5e55a_3e79_40c5_8586_970ba83"/>
      <w:bookmarkEnd w:id="12"/>
      <w:r>
        <w:rPr>
          <w:rFonts w:ascii="Arial" w:eastAsia="Arial" w:hAnsi="Arial" w:cs="Arial"/>
          <w:b/>
          <w:sz w:val="24"/>
        </w:rPr>
        <w:t>Sec. UUUU-1.  21-A MRSA §611</w:t>
      </w:r>
      <w:r>
        <w:rPr>
          <w:rFonts w:ascii="Arial" w:eastAsia="Arial" w:hAnsi="Arial" w:cs="Arial"/>
        </w:rPr>
        <w:t xml:space="preserve"> is enacted to read:</w:t>
      </w:r>
    </w:p>
    <w:p w:rsidR="0073350C" w:rsidP="0073350C">
      <w:pPr>
        <w:ind w:left="1080" w:hanging="720"/>
        <w:rPr>
          <w:rFonts w:ascii="Arial" w:eastAsia="Arial" w:hAnsi="Arial" w:cs="Arial"/>
        </w:rPr>
      </w:pPr>
      <w:bookmarkStart w:id="14" w:name="_PAR__13_932df661_64bc_4d51_8cc7_3b83f0e"/>
      <w:bookmarkEnd w:id="13"/>
      <w:r>
        <w:rPr>
          <w:rFonts w:ascii="Arial" w:eastAsia="Arial" w:hAnsi="Arial" w:cs="Arial"/>
          <w:b/>
          <w:u w:val="single"/>
        </w:rPr>
        <w:t>§611.  Production and Delivery of Election Materials Fund</w:t>
      </w:r>
    </w:p>
    <w:p w:rsidR="0073350C" w:rsidP="0073350C">
      <w:pPr>
        <w:ind w:left="360" w:firstLine="360"/>
        <w:rPr>
          <w:rFonts w:ascii="Arial" w:eastAsia="Arial" w:hAnsi="Arial" w:cs="Arial"/>
        </w:rPr>
      </w:pPr>
      <w:bookmarkStart w:id="15" w:name="_PAR__14_8b2f34a8_fbd7_46f4_a601_24cbb4d"/>
      <w:bookmarkEnd w:id="14"/>
      <w:r>
        <w:rPr>
          <w:rFonts w:ascii="Arial" w:eastAsia="Arial" w:hAnsi="Arial" w:cs="Arial"/>
          <w:b/>
          <w:u w:val="single"/>
        </w:rPr>
        <w:t xml:space="preserve">1.  Fund established. </w:t>
      </w:r>
      <w:r>
        <w:rPr>
          <w:rFonts w:ascii="Arial" w:eastAsia="Arial" w:hAnsi="Arial" w:cs="Arial"/>
          <w:u w:val="single"/>
        </w:rPr>
        <w:t xml:space="preserve"> The Production and Delivery of Election Materials Fund, a nonlapsing, interest-bearing account within the Department of the Secretary of State, referred to in this section as "the fund," is established for the purpose of receiving funds from the State to support the costs associated with the production and delivery of election materials as required under this Title, including, but not limited to, ballots, absentee ballot envelopes, voter registration applications, forms, instructions and other election supplies. The use of funds from the fund is in addition to any funds received by the Department of the Secretary of State from the State for this purpose.</w:t>
      </w:r>
    </w:p>
    <w:p w:rsidR="0073350C" w:rsidP="0073350C">
      <w:pPr>
        <w:ind w:left="360" w:firstLine="360"/>
        <w:rPr>
          <w:rFonts w:ascii="Arial" w:eastAsia="Arial" w:hAnsi="Arial" w:cs="Arial"/>
        </w:rPr>
      </w:pPr>
      <w:bookmarkStart w:id="16" w:name="_PAR__15_7504f88e_f480_49fe_8bcc_9578829"/>
      <w:bookmarkEnd w:id="15"/>
      <w:r>
        <w:rPr>
          <w:rFonts w:ascii="Arial" w:eastAsia="Arial" w:hAnsi="Arial" w:cs="Arial"/>
          <w:b/>
          <w:u w:val="single"/>
        </w:rPr>
        <w:t xml:space="preserve">2.  Funding. </w:t>
      </w:r>
      <w:r>
        <w:rPr>
          <w:rFonts w:ascii="Arial" w:eastAsia="Arial" w:hAnsi="Arial" w:cs="Arial"/>
          <w:u w:val="single"/>
        </w:rPr>
        <w:t xml:space="preserve"> Notwithstanding any provision of law to the contrary, on or before September 30, 2024, and every September 30th thereafter, the State Controller shall transfer $172,000 from the Medical Use of Cannabis Fund, established in Title 22, section 2430, to the Department of Secretary of State, Bureau of Administrative Services and Corporations program, Production and Delivery of Election Materials Fund Other Special Revenue Funds account to support the costs associated with the production and delivery of election materials pursuant to subsection 1, except that, beginning December 1, 2024, the transfer amount must be adjusted every 2 years based on the Consumer Price Index as reported by the United States Department of Labor, Bureau of Labor Statistics and rounded to the nearest amount divisible by $100.</w:t>
      </w:r>
    </w:p>
    <w:p w:rsidR="0073350C" w:rsidP="0073350C">
      <w:pPr>
        <w:ind w:left="360" w:firstLine="360"/>
        <w:rPr>
          <w:rFonts w:ascii="Arial" w:eastAsia="Arial" w:hAnsi="Arial" w:cs="Arial"/>
        </w:rPr>
      </w:pPr>
      <w:bookmarkStart w:id="17" w:name="_PAR__16_3faf1d86_ff7c_4257_9425_f324587"/>
      <w:bookmarkEnd w:id="16"/>
      <w:r>
        <w:rPr>
          <w:rFonts w:ascii="Arial" w:eastAsia="Arial" w:hAnsi="Arial" w:cs="Arial"/>
          <w:b/>
          <w:u w:val="single"/>
        </w:rPr>
        <w:t xml:space="preserve">3.  Carry forward; transfer of funds. </w:t>
      </w:r>
      <w:r>
        <w:rPr>
          <w:rFonts w:ascii="Arial" w:eastAsia="Arial" w:hAnsi="Arial" w:cs="Arial"/>
          <w:u w:val="single"/>
        </w:rPr>
        <w:t xml:space="preserve"> Notwithstanding any provision of law to the contrary, the State Controller shall carry forward any remaining balances in the Department of Secretary of State, Bureau of Administrative Services and Corporations program, General Fund account at the end of fiscal year 2024-25 and each fiscal year thereafter into </w:t>
      </w:r>
      <w:bookmarkStart w:id="18" w:name="_PAGE_SPLIT__820f5872_b42e_4759_bbc5_9e7"/>
      <w:bookmarkStart w:id="19" w:name="_PAGE__2_f9bf4373_af25_43e3_ab5e_27a10b5"/>
      <w:bookmarkStart w:id="20" w:name="_PAR__2_132ab045_11a0_46f6_aa8d_d7809e32"/>
      <w:bookmarkEnd w:id="1"/>
      <w:bookmarkEnd w:id="17"/>
      <w:r>
        <w:rPr>
          <w:rFonts w:ascii="Arial" w:eastAsia="Arial" w:hAnsi="Arial" w:cs="Arial"/>
          <w:u w:val="single"/>
        </w:rPr>
        <w:t>t</w:t>
      </w:r>
      <w:bookmarkEnd w:id="18"/>
      <w:r>
        <w:rPr>
          <w:rFonts w:ascii="Arial" w:eastAsia="Arial" w:hAnsi="Arial" w:cs="Arial"/>
          <w:u w:val="single"/>
        </w:rPr>
        <w:t>he following fiscal year and shall transfer those balances each fiscal year to the Department of Secretary of State, Bureau of Administrative Services and Corporations program, Production and Delivery of Election Materials Fund Other Special Revenue Funds account.</w:t>
      </w:r>
    </w:p>
    <w:p w:rsidR="0073350C" w:rsidP="0073350C">
      <w:pPr>
        <w:ind w:left="360" w:firstLine="360"/>
        <w:rPr>
          <w:rFonts w:ascii="Arial" w:eastAsia="Arial" w:hAnsi="Arial" w:cs="Arial"/>
        </w:rPr>
      </w:pPr>
      <w:bookmarkStart w:id="21" w:name="_PAR__3_dfa4d53a_05f8_4f29_8a63_8058306f"/>
      <w:bookmarkEnd w:id="20"/>
      <w:r>
        <w:rPr>
          <w:rFonts w:ascii="Arial" w:eastAsia="Arial" w:hAnsi="Arial" w:cs="Arial"/>
          <w:b/>
          <w:sz w:val="24"/>
        </w:rPr>
        <w:t>Sec. UUUU-2.  Appropriations and allocations.</w:t>
      </w:r>
      <w:r>
        <w:rPr>
          <w:rFonts w:ascii="Arial" w:eastAsia="Arial" w:hAnsi="Arial" w:cs="Arial"/>
        </w:rPr>
        <w:t>  The following appropriations and allocations are made.</w:t>
      </w:r>
    </w:p>
    <w:p w:rsidR="0073350C" w:rsidP="0073350C">
      <w:pPr>
        <w:pStyle w:val="BPSParagraphLeftAlign"/>
        <w:suppressAutoHyphens/>
        <w:ind w:left="360"/>
        <w:rPr>
          <w:rFonts w:ascii="Arial" w:eastAsia="Arial" w:hAnsi="Arial" w:cs="Arial"/>
        </w:rPr>
      </w:pPr>
      <w:bookmarkStart w:id="22" w:name="_PAR__4_e11fc03f_d16d_4a94_b7b7_724d138e"/>
      <w:bookmarkEnd w:id="21"/>
      <w:r>
        <w:rPr>
          <w:rFonts w:ascii="Arial" w:eastAsia="Arial" w:hAnsi="Arial" w:cs="Arial"/>
          <w:b/>
        </w:rPr>
        <w:t>SECRETARY OF STATE, DEPARTMENT OF</w:t>
      </w:r>
    </w:p>
    <w:p w:rsidR="0073350C" w:rsidP="0073350C">
      <w:pPr>
        <w:pStyle w:val="BPSParagraphLeftAlign"/>
        <w:suppressAutoHyphens/>
        <w:ind w:left="360"/>
        <w:rPr>
          <w:rFonts w:ascii="Arial" w:eastAsia="Arial" w:hAnsi="Arial" w:cs="Arial"/>
        </w:rPr>
      </w:pPr>
      <w:bookmarkStart w:id="23" w:name="_PAR__5_58b404d9_90cc_4717_a434_31164604"/>
      <w:bookmarkEnd w:id="22"/>
      <w:r>
        <w:rPr>
          <w:rFonts w:ascii="Arial" w:eastAsia="Arial" w:hAnsi="Arial" w:cs="Arial"/>
          <w:b/>
        </w:rPr>
        <w:t>Production and Delivery of Election Materials Fund N485</w:t>
      </w:r>
    </w:p>
    <w:p w:rsidR="0073350C" w:rsidP="0073350C">
      <w:pPr>
        <w:ind w:left="360"/>
        <w:rPr>
          <w:rFonts w:ascii="Arial" w:eastAsia="Arial" w:hAnsi="Arial" w:cs="Arial"/>
        </w:rPr>
      </w:pPr>
      <w:bookmarkStart w:id="24" w:name="_PAR__6_94663f63_cd86_462b_bab8_7a62e4eb"/>
      <w:bookmarkEnd w:id="23"/>
      <w:r>
        <w:rPr>
          <w:rFonts w:ascii="Arial" w:eastAsia="Arial" w:hAnsi="Arial" w:cs="Arial"/>
        </w:rPr>
        <w:t>Initiative: Provides ongoing allocations for the Production and Delivery of Election Materials Fund.</w:t>
      </w:r>
    </w:p>
    <w:tbl>
      <w:tblPr>
        <w:tblStyle w:val="BPSTable"/>
        <w:tblW w:w="0" w:type="auto"/>
        <w:tblInd w:w="360" w:type="dxa"/>
        <w:tblCellMar>
          <w:left w:w="0" w:type="dxa"/>
          <w:right w:w="0" w:type="dxa"/>
        </w:tblCellMar>
        <w:tblLook w:val="04A0"/>
      </w:tblPr>
      <w:tblGrid>
        <w:gridCol w:w="5009"/>
        <w:gridCol w:w="1463"/>
        <w:gridCol w:w="1463"/>
      </w:tblGrid>
      <w:tr w:rsidTr="00815E63">
        <w:tblPrEx>
          <w:tblW w:w="0" w:type="auto"/>
          <w:tblInd w:w="360" w:type="dxa"/>
          <w:tblCellMar>
            <w:left w:w="0" w:type="dxa"/>
            <w:right w:w="0" w:type="dxa"/>
          </w:tblCellMar>
          <w:tblLook w:val="04A0"/>
        </w:tblPrEx>
        <w:tc>
          <w:tcPr>
            <w:tcW w:w="5069" w:type="dxa"/>
          </w:tcPr>
          <w:p w:rsidR="0073350C" w:rsidP="00815E63">
            <w:pPr>
              <w:spacing w:before="0" w:after="0"/>
              <w:rPr>
                <w:rFonts w:ascii="Arial" w:eastAsia="Arial" w:hAnsi="Arial" w:cs="Arial"/>
              </w:rPr>
            </w:pPr>
            <w:bookmarkStart w:id="25" w:name="_PAR__7_fde9b22a_9b6f_46d3_875d_77fcf8e9"/>
            <w:bookmarkStart w:id="26" w:name="_LINE__10_e6ebec84_ca7b_4205_b0f2_8df501"/>
            <w:bookmarkEnd w:id="24"/>
            <w:r>
              <w:rPr>
                <w:rFonts w:ascii="Arial" w:eastAsia="Arial" w:hAnsi="Arial" w:cs="Arial"/>
                <w:b/>
              </w:rPr>
              <w:t>OTHER SPECIAL REVENUE FUNDS</w:t>
            </w:r>
            <w:bookmarkEnd w:id="26"/>
          </w:p>
        </w:tc>
        <w:tc>
          <w:tcPr>
            <w:tcW w:w="1469" w:type="dxa"/>
          </w:tcPr>
          <w:p w:rsidR="0073350C" w:rsidP="00815E63">
            <w:pPr>
              <w:spacing w:before="0" w:after="0"/>
              <w:jc w:val="right"/>
              <w:rPr>
                <w:rFonts w:ascii="Arial" w:eastAsia="Arial" w:hAnsi="Arial" w:cs="Arial"/>
              </w:rPr>
            </w:pPr>
            <w:bookmarkStart w:id="27" w:name="_LINE__10_87fe1305_b3a7_411f_9c79_ca636c"/>
            <w:r>
              <w:rPr>
                <w:rFonts w:ascii="Arial" w:eastAsia="Arial" w:hAnsi="Arial" w:cs="Arial"/>
                <w:b/>
              </w:rPr>
              <w:t>2023-24</w:t>
            </w:r>
            <w:bookmarkEnd w:id="27"/>
          </w:p>
        </w:tc>
        <w:tc>
          <w:tcPr>
            <w:tcW w:w="1469" w:type="dxa"/>
          </w:tcPr>
          <w:p w:rsidR="0073350C" w:rsidP="00815E63">
            <w:pPr>
              <w:spacing w:before="0" w:after="0"/>
              <w:jc w:val="right"/>
              <w:rPr>
                <w:rFonts w:ascii="Arial" w:eastAsia="Arial" w:hAnsi="Arial" w:cs="Arial"/>
              </w:rPr>
            </w:pPr>
            <w:bookmarkStart w:id="28" w:name="_LINE__10_d6d39fbc_5792_4331_a8b0_4ed8d8"/>
            <w:r>
              <w:rPr>
                <w:rFonts w:ascii="Arial" w:eastAsia="Arial" w:hAnsi="Arial" w:cs="Arial"/>
                <w:b/>
              </w:rPr>
              <w:t>2024-25</w:t>
            </w:r>
            <w:bookmarkEnd w:id="28"/>
          </w:p>
        </w:tc>
      </w:tr>
      <w:tr w:rsidTr="00815E63">
        <w:tblPrEx>
          <w:tblW w:w="0" w:type="auto"/>
          <w:tblInd w:w="360" w:type="dxa"/>
          <w:tblCellMar>
            <w:left w:w="0" w:type="dxa"/>
            <w:right w:w="0" w:type="dxa"/>
          </w:tblCellMar>
          <w:tblLook w:val="04A0"/>
        </w:tblPrEx>
        <w:tc>
          <w:tcPr>
            <w:tcW w:w="5069" w:type="dxa"/>
          </w:tcPr>
          <w:p w:rsidR="0073350C" w:rsidP="00815E63">
            <w:pPr>
              <w:spacing w:before="0" w:after="0"/>
              <w:ind w:left="180"/>
              <w:rPr>
                <w:rFonts w:ascii="Arial" w:eastAsia="Arial" w:hAnsi="Arial" w:cs="Arial"/>
              </w:rPr>
            </w:pPr>
            <w:bookmarkStart w:id="29" w:name="_LINE__11_9ebc4ee2_4f9c_4e22_9f48_ce3b23"/>
            <w:r>
              <w:rPr>
                <w:rFonts w:ascii="Arial" w:eastAsia="Arial" w:hAnsi="Arial" w:cs="Arial"/>
              </w:rPr>
              <w:t>All Other</w:t>
            </w:r>
            <w:bookmarkEnd w:id="29"/>
          </w:p>
        </w:tc>
        <w:tc>
          <w:tcPr>
            <w:tcW w:w="1469" w:type="dxa"/>
          </w:tcPr>
          <w:p w:rsidR="0073350C" w:rsidP="00815E63">
            <w:pPr>
              <w:spacing w:before="0" w:after="0"/>
              <w:jc w:val="right"/>
              <w:rPr>
                <w:rFonts w:ascii="Arial" w:eastAsia="Arial" w:hAnsi="Arial" w:cs="Arial"/>
              </w:rPr>
            </w:pPr>
            <w:bookmarkStart w:id="30" w:name="_LINE__11_8d4d93af_1592_4aa3_a4df_9498a5"/>
            <w:r>
              <w:rPr>
                <w:rFonts w:ascii="Arial" w:eastAsia="Arial" w:hAnsi="Arial" w:cs="Arial"/>
              </w:rPr>
              <w:t>$0</w:t>
            </w:r>
            <w:bookmarkEnd w:id="30"/>
          </w:p>
        </w:tc>
        <w:tc>
          <w:tcPr>
            <w:tcW w:w="1469" w:type="dxa"/>
          </w:tcPr>
          <w:p w:rsidR="0073350C" w:rsidP="00815E63">
            <w:pPr>
              <w:spacing w:before="0" w:after="0"/>
              <w:jc w:val="right"/>
              <w:rPr>
                <w:rFonts w:ascii="Arial" w:eastAsia="Arial" w:hAnsi="Arial" w:cs="Arial"/>
              </w:rPr>
            </w:pPr>
            <w:bookmarkStart w:id="31" w:name="_LINE__11_4bf007b6_40c4_49a7_9a49_33054a"/>
            <w:r>
              <w:rPr>
                <w:rFonts w:ascii="Arial" w:eastAsia="Arial" w:hAnsi="Arial" w:cs="Arial"/>
              </w:rPr>
              <w:t>$172,000</w:t>
            </w:r>
            <w:bookmarkEnd w:id="31"/>
          </w:p>
        </w:tc>
      </w:tr>
      <w:tr w:rsidTr="00815E63">
        <w:tblPrEx>
          <w:tblW w:w="0" w:type="auto"/>
          <w:tblInd w:w="360" w:type="dxa"/>
          <w:tblCellMar>
            <w:left w:w="0" w:type="dxa"/>
            <w:right w:w="0" w:type="dxa"/>
          </w:tblCellMar>
          <w:tblLook w:val="04A0"/>
        </w:tblPrEx>
        <w:tc>
          <w:tcPr>
            <w:tcW w:w="5069" w:type="dxa"/>
          </w:tcPr>
          <w:p w:rsidR="0073350C" w:rsidP="00815E63">
            <w:pPr>
              <w:spacing w:before="0" w:after="0"/>
              <w:rPr>
                <w:rFonts w:ascii="Arial" w:eastAsia="Arial" w:hAnsi="Arial" w:cs="Arial"/>
              </w:rPr>
            </w:pPr>
            <w:bookmarkStart w:id="32" w:name="_LINE__12_219bc51c_14c4_4c44_af83_10f619"/>
            <w:r>
              <w:rPr>
                <w:rFonts w:ascii="Arial" w:eastAsia="Arial" w:hAnsi="Arial" w:cs="Arial"/>
              </w:rPr>
              <w:t xml:space="preserve"> </w:t>
            </w:r>
            <w:bookmarkEnd w:id="32"/>
          </w:p>
        </w:tc>
        <w:tc>
          <w:tcPr>
            <w:tcW w:w="1469" w:type="dxa"/>
          </w:tcPr>
          <w:p w:rsidR="0073350C" w:rsidP="00815E63">
            <w:pPr>
              <w:spacing w:before="0" w:after="0"/>
              <w:jc w:val="right"/>
              <w:rPr>
                <w:rFonts w:ascii="Arial" w:eastAsia="Arial" w:hAnsi="Arial" w:cs="Arial"/>
              </w:rPr>
            </w:pPr>
            <w:bookmarkStart w:id="33" w:name="_LINE__12_62c713a0_2efa_4729_9dd9_a5baff"/>
            <w:r>
              <w:rPr>
                <w:rFonts w:ascii="Arial" w:eastAsia="Arial" w:hAnsi="Arial" w:cs="Arial"/>
              </w:rPr>
              <w:t>__________</w:t>
            </w:r>
            <w:bookmarkEnd w:id="33"/>
          </w:p>
        </w:tc>
        <w:tc>
          <w:tcPr>
            <w:tcW w:w="1469" w:type="dxa"/>
          </w:tcPr>
          <w:p w:rsidR="0073350C" w:rsidP="00815E63">
            <w:pPr>
              <w:spacing w:before="0" w:after="0"/>
              <w:jc w:val="right"/>
              <w:rPr>
                <w:rFonts w:ascii="Arial" w:eastAsia="Arial" w:hAnsi="Arial" w:cs="Arial"/>
              </w:rPr>
            </w:pPr>
            <w:bookmarkStart w:id="34" w:name="_LINE__12_6bcca939_6ec1_44ba_9589_3cc6fd"/>
            <w:r>
              <w:rPr>
                <w:rFonts w:ascii="Arial" w:eastAsia="Arial" w:hAnsi="Arial" w:cs="Arial"/>
              </w:rPr>
              <w:t>__________</w:t>
            </w:r>
            <w:bookmarkEnd w:id="34"/>
          </w:p>
        </w:tc>
      </w:tr>
      <w:tr w:rsidTr="00815E63">
        <w:tblPrEx>
          <w:tblW w:w="0" w:type="auto"/>
          <w:tblInd w:w="360" w:type="dxa"/>
          <w:tblCellMar>
            <w:left w:w="0" w:type="dxa"/>
            <w:right w:w="0" w:type="dxa"/>
          </w:tblCellMar>
          <w:tblLook w:val="04A0"/>
        </w:tblPrEx>
        <w:tc>
          <w:tcPr>
            <w:tcW w:w="5069" w:type="dxa"/>
          </w:tcPr>
          <w:p w:rsidR="0073350C" w:rsidP="00815E63">
            <w:pPr>
              <w:spacing w:before="0" w:after="0"/>
              <w:rPr>
                <w:rFonts w:ascii="Arial" w:eastAsia="Arial" w:hAnsi="Arial" w:cs="Arial"/>
              </w:rPr>
            </w:pPr>
            <w:bookmarkStart w:id="35" w:name="_LINE__13_b1eda079_76cd_42de_b24f_bfdf69"/>
            <w:r>
              <w:rPr>
                <w:rFonts w:ascii="Arial" w:eastAsia="Arial" w:hAnsi="Arial" w:cs="Arial"/>
              </w:rPr>
              <w:t>OTHER SPECIAL REVENUE FUNDS TOTAL</w:t>
            </w:r>
            <w:bookmarkEnd w:id="35"/>
          </w:p>
        </w:tc>
        <w:tc>
          <w:tcPr>
            <w:tcW w:w="1469" w:type="dxa"/>
          </w:tcPr>
          <w:p w:rsidR="0073350C" w:rsidP="00815E63">
            <w:pPr>
              <w:spacing w:before="0" w:after="0"/>
              <w:jc w:val="right"/>
              <w:rPr>
                <w:rFonts w:ascii="Arial" w:eastAsia="Arial" w:hAnsi="Arial" w:cs="Arial"/>
              </w:rPr>
            </w:pPr>
            <w:bookmarkStart w:id="36" w:name="_LINE__13_2b61bae6_3798_472b_a05e_8fa1e2"/>
            <w:r>
              <w:rPr>
                <w:rFonts w:ascii="Arial" w:eastAsia="Arial" w:hAnsi="Arial" w:cs="Arial"/>
              </w:rPr>
              <w:t>$0</w:t>
            </w:r>
            <w:bookmarkEnd w:id="36"/>
          </w:p>
        </w:tc>
        <w:tc>
          <w:tcPr>
            <w:tcW w:w="1469" w:type="dxa"/>
          </w:tcPr>
          <w:p w:rsidR="0073350C" w:rsidP="00815E63">
            <w:pPr>
              <w:spacing w:before="0" w:after="0"/>
              <w:jc w:val="right"/>
              <w:rPr>
                <w:rFonts w:ascii="Arial" w:eastAsia="Arial" w:hAnsi="Arial" w:cs="Arial"/>
              </w:rPr>
            </w:pPr>
            <w:bookmarkStart w:id="37" w:name="_LINE__13_2bfdc59c_a1a7_4257_88bd_a79212"/>
            <w:r>
              <w:rPr>
                <w:rFonts w:ascii="Arial" w:eastAsia="Arial" w:hAnsi="Arial" w:cs="Arial"/>
              </w:rPr>
              <w:t>$172,000</w:t>
            </w:r>
            <w:bookmarkEnd w:id="37"/>
          </w:p>
        </w:tc>
      </w:tr>
    </w:tbl>
    <w:p w:rsidR="0073350C" w:rsidP="0073350C">
      <w:pPr>
        <w:ind w:left="360"/>
        <w:rPr>
          <w:rFonts w:ascii="Arial" w:eastAsia="Arial" w:hAnsi="Arial" w:cs="Arial"/>
        </w:rPr>
      </w:pPr>
      <w:bookmarkStart w:id="38" w:name="_PAR__8_b2ad8ab8_4ea6_4eab_9ec2_fbe402fc"/>
      <w:bookmarkEnd w:id="25"/>
      <w:r>
        <w:rPr>
          <w:rFonts w:ascii="Arial" w:eastAsia="Arial" w:hAnsi="Arial" w:cs="Arial"/>
        </w:rPr>
        <w:t>'</w:t>
      </w:r>
    </w:p>
    <w:p w:rsidR="0073350C" w:rsidP="0073350C">
      <w:pPr>
        <w:ind w:left="360" w:firstLine="360"/>
        <w:rPr>
          <w:rFonts w:ascii="Arial" w:eastAsia="Arial" w:hAnsi="Arial" w:cs="Arial"/>
        </w:rPr>
      </w:pPr>
      <w:bookmarkStart w:id="39" w:name="_INSTRUCTION__c685f6a0_edc2_40d8_a678_ce"/>
      <w:bookmarkStart w:id="40" w:name="_PAR__9_082be4c0_bc17_49f4_8630_bba5beec"/>
      <w:bookmarkEnd w:id="10"/>
      <w:bookmarkEnd w:id="38"/>
      <w:r>
        <w:rPr>
          <w:rFonts w:ascii="Arial" w:eastAsia="Arial" w:hAnsi="Arial" w:cs="Arial"/>
        </w:rPr>
        <w:t>Amend the amendment by relettering or renumbering any nonconsecutive Part letter or section number to read consecutively.</w:t>
      </w:r>
    </w:p>
    <w:p w:rsidR="0073350C" w:rsidP="0073350C">
      <w:pPr>
        <w:keepNext/>
        <w:spacing w:before="240"/>
        <w:ind w:left="360"/>
        <w:jc w:val="center"/>
        <w:rPr>
          <w:rFonts w:ascii="Arial" w:eastAsia="Arial" w:hAnsi="Arial" w:cs="Arial"/>
        </w:rPr>
      </w:pPr>
      <w:bookmarkStart w:id="41" w:name="_SUMMARY__a545b9d4_45a8_4b81_955f_820af4"/>
      <w:bookmarkStart w:id="42" w:name="_PAR__10_3299a0de_3a68_4197_9ce6_4f793b0"/>
      <w:bookmarkEnd w:id="39"/>
      <w:bookmarkEnd w:id="40"/>
      <w:r>
        <w:rPr>
          <w:rFonts w:ascii="Arial" w:eastAsia="Arial" w:hAnsi="Arial" w:cs="Arial"/>
          <w:b/>
          <w:sz w:val="24"/>
        </w:rPr>
        <w:t>SUMMARY</w:t>
      </w:r>
    </w:p>
    <w:p w:rsidR="0073350C" w:rsidRPr="00CF1D18" w:rsidP="0073350C">
      <w:pPr>
        <w:ind w:left="360"/>
        <w:jc w:val="center"/>
        <w:rPr>
          <w:rFonts w:ascii="Arial" w:eastAsia="Arial" w:hAnsi="Arial" w:cs="Arial"/>
          <w:b/>
        </w:rPr>
      </w:pPr>
      <w:bookmarkStart w:id="43" w:name="_PAR__11_ff91edf1_8454_46c2_aef5_bd7402d"/>
      <w:bookmarkEnd w:id="42"/>
      <w:r>
        <w:rPr>
          <w:rFonts w:ascii="Arial" w:eastAsia="Arial" w:hAnsi="Arial" w:cs="Arial"/>
          <w:b/>
        </w:rPr>
        <w:t>PART UUUU</w:t>
      </w:r>
    </w:p>
    <w:p w:rsidR="0073350C" w:rsidP="0073350C">
      <w:pPr>
        <w:ind w:left="360" w:firstLine="360"/>
        <w:rPr>
          <w:rFonts w:ascii="Arial" w:eastAsia="Arial" w:hAnsi="Arial" w:cs="Arial"/>
        </w:rPr>
      </w:pPr>
      <w:bookmarkStart w:id="44" w:name="_PAR__12_48ab9122_f0cc_48c0_b87c_a9eee24"/>
      <w:bookmarkEnd w:id="43"/>
      <w:r>
        <w:rPr>
          <w:rFonts w:ascii="Arial" w:eastAsia="Arial" w:hAnsi="Arial" w:cs="Arial"/>
        </w:rPr>
        <w:t xml:space="preserve">This Part establishes the Production and Delivery of Election Materials Fund as a nonlapsing, interest-bearing Other Special Revenue Funds account within the Department of the Secretary of State for the purpose of receiving funds from the State to support the costs associated with the production and delivery of election materials. The use of funds from the fund is in addition to any other funds received by the department from the State for that purpose. </w:t>
      </w:r>
    </w:p>
    <w:p w:rsidR="0073350C" w:rsidP="0073350C">
      <w:pPr>
        <w:keepNext/>
        <w:ind w:left="360" w:firstLine="360"/>
        <w:rPr>
          <w:rFonts w:ascii="Arial" w:eastAsia="Arial" w:hAnsi="Arial" w:cs="Arial"/>
        </w:rPr>
      </w:pPr>
      <w:bookmarkStart w:id="45" w:name="_PAR__13_2080f838_c95c_48a7_9b7e_424d68f"/>
      <w:bookmarkEnd w:id="44"/>
      <w:r>
        <w:rPr>
          <w:rFonts w:ascii="Arial" w:eastAsia="Arial" w:hAnsi="Arial" w:cs="Arial"/>
        </w:rPr>
        <w:t>It also provides for an ongoing transfer to the Production and Delivery of Election Materials Fund from the Medical Use of Cannabis Fund. In 2024 the transfer is $172,000, and the amount must be adjusted for the cost of living every 2 years. Additionally, it provides for any remaining balances in the Department of Secretary of State, Bureau of Administrative Services and Corporations program, General Fund account at the end of each fiscal year to be transferred to the Production and Delivery of Election Materials Fund.</w:t>
      </w:r>
    </w:p>
    <w:p w:rsidR="0073350C" w:rsidP="0073350C">
      <w:pPr>
        <w:keepNext/>
        <w:spacing w:before="400" w:after="120" w:line="259" w:lineRule="auto"/>
        <w:ind w:left="360"/>
        <w:rPr>
          <w:rFonts w:ascii="Arial" w:eastAsia="Arial" w:hAnsi="Arial" w:cs="Arial"/>
          <w:b/>
        </w:rPr>
      </w:pPr>
      <w:bookmarkStart w:id="46" w:name="_SPONSOR_BLOCK__d5d2882d_692d_46bc_95be_"/>
      <w:bookmarkStart w:id="47" w:name="_PAR__14_13bdb879_320e_4a10_acce_bd44c9c"/>
      <w:bookmarkEnd w:id="41"/>
      <w:bookmarkEnd w:id="45"/>
      <w:r>
        <w:rPr>
          <w:rFonts w:ascii="Arial" w:eastAsia="Arial" w:hAnsi="Arial" w:cs="Arial"/>
          <w:b/>
        </w:rPr>
        <w:t>SPONSORED BY: ___________________________________</w:t>
      </w:r>
    </w:p>
    <w:p w:rsidR="0073350C" w:rsidP="0073350C">
      <w:pPr>
        <w:keepNext/>
        <w:spacing w:after="120" w:line="259" w:lineRule="auto"/>
        <w:ind w:left="720"/>
        <w:rPr>
          <w:rFonts w:ascii="Arial" w:eastAsia="Arial" w:hAnsi="Arial" w:cs="Arial"/>
          <w:b/>
        </w:rPr>
      </w:pPr>
      <w:bookmarkStart w:id="48" w:name="_PAR__15_5909af1a_39f1_4d10_8444_4c0cd26"/>
      <w:bookmarkEnd w:id="47"/>
      <w:r>
        <w:rPr>
          <w:rFonts w:ascii="Arial" w:eastAsia="Arial" w:hAnsi="Arial" w:cs="Arial"/>
          <w:b/>
        </w:rPr>
        <w:t>(Senator HICKMAN, C.)</w:t>
      </w:r>
    </w:p>
    <w:p w:rsidR="00000000" w:rsidRPr="0073350C" w:rsidP="0073350C">
      <w:pPr>
        <w:spacing w:after="120" w:line="259" w:lineRule="auto"/>
        <w:ind w:left="1080"/>
        <w:rPr>
          <w:rFonts w:ascii="Arial" w:eastAsia="Arial" w:hAnsi="Arial" w:cs="Arial"/>
          <w:b/>
        </w:rPr>
      </w:pPr>
      <w:bookmarkStart w:id="49" w:name="_PAR__16_416b2b24_d8ae_402c_ae6a_64f5ac8"/>
      <w:bookmarkEnd w:id="48"/>
      <w:r>
        <w:rPr>
          <w:rFonts w:ascii="Arial" w:eastAsia="Arial" w:hAnsi="Arial" w:cs="Arial"/>
          <w:b/>
        </w:rPr>
        <w:t>COUNTY: Kennebec</w:t>
      </w:r>
      <w:bookmarkEnd w:id="19"/>
      <w:bookmarkEnd w:id="46"/>
      <w:bookmarkEnd w:id="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LR3108, item 20 - 131st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Make Supplemental Appropriations and Allocations for the Expenditures of State Government, General Fund and Other Funds and to Change Certain Provisions of the Law Necessary to the Proper Operations of State Government for the Fiscal Years Ending June 30, 2024 and June 30, 2025</w:t>
    </w:r>
  </w:p>
  <w:p>
    <w:pPr>
      <w:suppressLineNumbers/>
      <w:spacing w:before="0" w:after="0"/>
      <w:jc w:val="center"/>
      <w:rPr>
        <w:rFonts w:ascii="Arial" w:eastAsia="Arial" w:hAnsi="Arial" w:cs="Arial"/>
      </w:rPr>
    </w:pPr>
    <w:r>
      <w:rPr>
        <w:rFonts w:ascii="Arial" w:eastAsia="Arial" w:hAnsi="Arial" w:cs="Arial"/>
        <w:sz w:val="22"/>
      </w:rPr>
      <w:t>L.D. 2214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350C"/>
    <w:rsid w:val="007D72C8"/>
    <w:rsid w:val="007F3B1E"/>
    <w:rsid w:val="00801F19"/>
    <w:rsid w:val="00806421"/>
    <w:rsid w:val="00815E63"/>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F1D18"/>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