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Equity in the Forest Products Industry by Allowing Commercial Wood Haulers to Be Eligible for Certain Sales Tax Exemptions and Refunds</w:t>
      </w:r>
    </w:p>
    <w:p w:rsidR="00192D65" w:rsidP="00192D65">
      <w:pPr>
        <w:spacing w:after="240"/>
        <w:ind w:left="360"/>
        <w:jc w:val="right"/>
        <w:rPr>
          <w:rFonts w:ascii="Arial" w:eastAsia="Arial" w:hAnsi="Arial" w:cs="Arial"/>
          <w:caps/>
        </w:rPr>
      </w:pPr>
      <w:bookmarkStart w:id="0" w:name="_AMEND_TITLE__d24d72d5_523c_46de_8329_b8"/>
      <w:bookmarkStart w:id="1" w:name="_PAGE__1_9fa7e39a_ff50_453a_b306_492bb6b"/>
      <w:bookmarkStart w:id="2" w:name="_PAR__2_105ec784_55f6_4df3_9361_8c06e506"/>
      <w:r>
        <w:rPr>
          <w:rFonts w:ascii="Arial" w:eastAsia="Arial" w:hAnsi="Arial" w:cs="Arial"/>
          <w:caps/>
        </w:rPr>
        <w:t>L.D. 2279</w:t>
      </w:r>
    </w:p>
    <w:p w:rsidR="00192D65" w:rsidP="00192D65">
      <w:pPr>
        <w:tabs>
          <w:tab w:val="right" w:pos="8928"/>
        </w:tabs>
        <w:spacing w:after="360"/>
        <w:ind w:left="360"/>
        <w:rPr>
          <w:rFonts w:ascii="Arial" w:eastAsia="Arial" w:hAnsi="Arial" w:cs="Arial"/>
        </w:rPr>
      </w:pPr>
      <w:bookmarkStart w:id="3" w:name="_PAR__3_c1e62c8a_073d_4135_8fe7_b1e52cbe"/>
      <w:bookmarkEnd w:id="2"/>
      <w:r>
        <w:rPr>
          <w:rFonts w:ascii="Arial" w:eastAsia="Arial" w:hAnsi="Arial" w:cs="Arial"/>
        </w:rPr>
        <w:t>Date:</w:t>
      </w:r>
      <w:r>
        <w:rPr>
          <w:rFonts w:ascii="Arial" w:eastAsia="Arial" w:hAnsi="Arial" w:cs="Arial"/>
        </w:rPr>
        <w:tab/>
        <w:t>(Filing No. S-         )</w:t>
      </w:r>
    </w:p>
    <w:p w:rsidR="00192D65" w:rsidP="00192D65">
      <w:pPr>
        <w:spacing w:before="600" w:after="300"/>
        <w:ind w:left="360"/>
        <w:jc w:val="center"/>
        <w:outlineLvl w:val="0"/>
        <w:rPr>
          <w:rFonts w:ascii="Arial" w:eastAsia="Arial" w:hAnsi="Arial" w:cs="Arial"/>
        </w:rPr>
      </w:pPr>
      <w:bookmarkStart w:id="4" w:name="_PAR__4_2c3d3729_e201_4abc_846c_54ffd04d"/>
      <w:bookmarkEnd w:id="3"/>
      <w:r>
        <w:rPr>
          <w:rFonts w:ascii="Arial" w:eastAsia="Arial" w:hAnsi="Arial" w:cs="Arial"/>
          <w:b/>
          <w:caps/>
          <w:sz w:val="24"/>
          <w:szCs w:val="32"/>
        </w:rPr>
        <w:t xml:space="preserve">Taxation </w:t>
      </w:r>
    </w:p>
    <w:p w:rsidR="00192D65" w:rsidP="00192D65">
      <w:pPr>
        <w:spacing w:before="60" w:after="60"/>
        <w:ind w:left="720"/>
        <w:rPr>
          <w:rFonts w:ascii="Arial" w:eastAsia="Arial" w:hAnsi="Arial" w:cs="Arial"/>
        </w:rPr>
      </w:pPr>
      <w:bookmarkStart w:id="5" w:name="_PAR__5_c18a2d86_f3b5_4f97_8b12_8581aaf5"/>
      <w:bookmarkEnd w:id="4"/>
      <w:r>
        <w:rPr>
          <w:rFonts w:ascii="Arial" w:eastAsia="Arial" w:hAnsi="Arial" w:cs="Arial"/>
        </w:rPr>
        <w:t>Reproduced and distributed under the direction of the Secretary of the Senate.</w:t>
      </w:r>
    </w:p>
    <w:p w:rsidR="00192D65" w:rsidP="00192D65">
      <w:pPr>
        <w:spacing w:before="160" w:after="0"/>
        <w:ind w:left="360"/>
        <w:jc w:val="center"/>
        <w:outlineLvl w:val="0"/>
        <w:rPr>
          <w:rFonts w:ascii="Arial" w:eastAsia="Arial" w:hAnsi="Arial" w:cs="Arial"/>
          <w:b/>
          <w:caps/>
          <w:sz w:val="24"/>
          <w:szCs w:val="32"/>
        </w:rPr>
      </w:pPr>
      <w:bookmarkStart w:id="6" w:name="_PAR__6_1908fe06_0f6e_4c1d_b76a_d6a4ab87"/>
      <w:bookmarkEnd w:id="5"/>
      <w:r>
        <w:rPr>
          <w:rFonts w:ascii="Arial" w:eastAsia="Arial" w:hAnsi="Arial" w:cs="Arial"/>
          <w:b/>
          <w:caps/>
          <w:sz w:val="24"/>
          <w:szCs w:val="32"/>
        </w:rPr>
        <w:t>STATE OF MAINE</w:t>
      </w:r>
    </w:p>
    <w:p w:rsidR="00192D65" w:rsidP="00192D65">
      <w:pPr>
        <w:spacing w:after="0"/>
        <w:ind w:left="360"/>
        <w:jc w:val="center"/>
        <w:outlineLvl w:val="0"/>
        <w:rPr>
          <w:rFonts w:ascii="Arial" w:eastAsia="Arial" w:hAnsi="Arial" w:cs="Arial"/>
          <w:b/>
          <w:caps/>
          <w:sz w:val="24"/>
          <w:szCs w:val="32"/>
        </w:rPr>
      </w:pPr>
      <w:bookmarkStart w:id="7" w:name="_PAR__7_04555ee6_ffd7_437c_9cf2_023a8528"/>
      <w:bookmarkEnd w:id="6"/>
      <w:r>
        <w:rPr>
          <w:rFonts w:ascii="Arial" w:eastAsia="Arial" w:hAnsi="Arial" w:cs="Arial"/>
          <w:b/>
          <w:caps/>
          <w:sz w:val="24"/>
          <w:szCs w:val="32"/>
        </w:rPr>
        <w:t>SENATE</w:t>
      </w:r>
    </w:p>
    <w:p w:rsidR="00192D65" w:rsidP="00192D65">
      <w:pPr>
        <w:spacing w:after="0"/>
        <w:ind w:left="360"/>
        <w:jc w:val="center"/>
        <w:outlineLvl w:val="0"/>
        <w:rPr>
          <w:rFonts w:ascii="Arial" w:eastAsia="Arial" w:hAnsi="Arial" w:cs="Arial"/>
          <w:b/>
          <w:caps/>
          <w:sz w:val="24"/>
          <w:szCs w:val="32"/>
        </w:rPr>
      </w:pPr>
      <w:bookmarkStart w:id="8" w:name="_PAR__8_0f5be30f_a74e_4717_9003_01a40c02"/>
      <w:bookmarkEnd w:id="7"/>
      <w:r>
        <w:rPr>
          <w:rFonts w:ascii="Arial" w:eastAsia="Arial" w:hAnsi="Arial" w:cs="Arial"/>
          <w:b/>
          <w:caps/>
          <w:sz w:val="24"/>
          <w:szCs w:val="32"/>
        </w:rPr>
        <w:t>131st Legislature</w:t>
      </w:r>
    </w:p>
    <w:p w:rsidR="00192D65" w:rsidP="00192D65">
      <w:pPr>
        <w:spacing w:after="0"/>
        <w:ind w:left="360"/>
        <w:jc w:val="center"/>
        <w:outlineLvl w:val="0"/>
        <w:rPr>
          <w:rFonts w:ascii="Arial" w:eastAsia="Arial" w:hAnsi="Arial" w:cs="Arial"/>
          <w:b/>
          <w:caps/>
          <w:sz w:val="24"/>
          <w:szCs w:val="32"/>
        </w:rPr>
      </w:pPr>
      <w:bookmarkStart w:id="9" w:name="_PAR__9_ed035039_cbe1_4ba2_a452_8cc9356e"/>
      <w:bookmarkEnd w:id="8"/>
      <w:r>
        <w:rPr>
          <w:rFonts w:ascii="Arial" w:eastAsia="Arial" w:hAnsi="Arial" w:cs="Arial"/>
          <w:b/>
          <w:caps/>
          <w:sz w:val="24"/>
          <w:szCs w:val="32"/>
        </w:rPr>
        <w:t>Second Regular Session</w:t>
      </w:r>
    </w:p>
    <w:p w:rsidR="00192D65" w:rsidP="00192D65">
      <w:pPr>
        <w:spacing w:before="400" w:after="200"/>
        <w:ind w:left="360" w:firstLine="360"/>
        <w:rPr>
          <w:rFonts w:ascii="Arial" w:eastAsia="Arial" w:hAnsi="Arial" w:cs="Arial"/>
        </w:rPr>
      </w:pPr>
      <w:bookmarkStart w:id="10" w:name="_PAR__10_4b70be07_d2c9_4c91_993c_d186c9a"/>
      <w:bookmarkEnd w:id="9"/>
      <w:r>
        <w:rPr>
          <w:rFonts w:ascii="Arial" w:eastAsia="Arial" w:hAnsi="Arial" w:cs="Arial"/>
          <w:szCs w:val="22"/>
        </w:rPr>
        <w:t>COMMITTEE AMENDMENT “      ” to S.P. 994, L.D. 2279, “An Act to Promote Equity in the Forest Products Industry by Allowing Commercial Wood Haulers to Be Eligible for Certain Sales Tax Exemptions and Refunds”</w:t>
      </w:r>
    </w:p>
    <w:p w:rsidR="00192D65" w:rsidP="00192D65">
      <w:pPr>
        <w:ind w:left="360" w:firstLine="360"/>
        <w:rPr>
          <w:rFonts w:ascii="Arial" w:eastAsia="Arial" w:hAnsi="Arial" w:cs="Arial"/>
        </w:rPr>
      </w:pPr>
      <w:bookmarkStart w:id="11" w:name="_INSTRUCTION__96f10a8e_d158_4761_9c19_c8"/>
      <w:bookmarkStart w:id="12" w:name="_PAR__11_e84b6cfe_1558_4a4c_adad_a63c4fd"/>
      <w:bookmarkEnd w:id="0"/>
      <w:bookmarkEnd w:id="10"/>
      <w:r>
        <w:rPr>
          <w:rFonts w:ascii="Arial" w:eastAsia="Arial" w:hAnsi="Arial" w:cs="Arial"/>
        </w:rPr>
        <w:t>Amend the bill by striking out everything after the enacting clause and inserting the following:</w:t>
      </w:r>
    </w:p>
    <w:p w:rsidR="00192D65" w:rsidP="00192D65">
      <w:pPr>
        <w:ind w:left="360" w:firstLine="360"/>
        <w:rPr>
          <w:rFonts w:ascii="Arial" w:eastAsia="Arial" w:hAnsi="Arial" w:cs="Arial"/>
        </w:rPr>
      </w:pPr>
      <w:bookmarkStart w:id="13" w:name="_PAR__12_4fa8a4a8_9913_4831_a5c2_3ce981f"/>
      <w:bookmarkEnd w:id="12"/>
      <w:r>
        <w:rPr>
          <w:rFonts w:ascii="Arial" w:eastAsia="Arial" w:hAnsi="Arial" w:cs="Arial"/>
        </w:rPr>
        <w:t>'</w:t>
      </w:r>
      <w:r>
        <w:rPr>
          <w:rFonts w:ascii="Arial" w:eastAsia="Arial" w:hAnsi="Arial" w:cs="Arial"/>
          <w:b/>
          <w:sz w:val="24"/>
        </w:rPr>
        <w:t>Sec. 1.  36 MRSA §2013, sub-§1, ¶B-1,</w:t>
      </w:r>
      <w:r>
        <w:rPr>
          <w:rFonts w:ascii="Arial" w:eastAsia="Arial" w:hAnsi="Arial" w:cs="Arial"/>
        </w:rPr>
        <w:t xml:space="preserve"> as enacted by PL 2011, c. 657, Pt. N, §2 and affected by §3, is amended to read:</w:t>
      </w:r>
    </w:p>
    <w:p w:rsidR="00192D65" w:rsidP="00192D65">
      <w:pPr>
        <w:ind w:left="720"/>
        <w:rPr>
          <w:rFonts w:ascii="Arial" w:eastAsia="Arial" w:hAnsi="Arial" w:cs="Arial"/>
        </w:rPr>
      </w:pPr>
      <w:bookmarkStart w:id="14" w:name="_PAR__13_6ddf6694_edf4_453d_858e_0628012"/>
      <w:bookmarkEnd w:id="13"/>
      <w:r>
        <w:rPr>
          <w:rFonts w:ascii="Arial" w:eastAsia="Arial" w:hAnsi="Arial" w:cs="Arial"/>
        </w:rPr>
        <w:t xml:space="preserve">B-1.  "Commercial wood harvesting" means the commercial severance </w:t>
      </w:r>
      <w:r>
        <w:rPr>
          <w:rFonts w:ascii="Arial" w:eastAsia="Arial" w:hAnsi="Arial" w:cs="Arial"/>
          <w:strike/>
        </w:rPr>
        <w:t>and</w:t>
      </w:r>
      <w:r>
        <w:rPr>
          <w:rFonts w:ascii="Arial" w:eastAsia="Arial" w:hAnsi="Arial" w:cs="Arial"/>
          <w:u w:val="single"/>
        </w:rPr>
        <w:t>,</w:t>
      </w:r>
      <w:r>
        <w:rPr>
          <w:rFonts w:ascii="Arial" w:eastAsia="Arial" w:hAnsi="Arial" w:cs="Arial"/>
        </w:rPr>
        <w:t xml:space="preserve"> yarding </w:t>
      </w:r>
      <w:r>
        <w:rPr>
          <w:rFonts w:ascii="Arial" w:eastAsia="Arial" w:hAnsi="Arial" w:cs="Arial"/>
          <w:u w:val="single"/>
        </w:rPr>
        <w:t>and hauling</w:t>
      </w:r>
      <w:r>
        <w:rPr>
          <w:rFonts w:ascii="Arial" w:eastAsia="Arial" w:hAnsi="Arial" w:cs="Arial"/>
        </w:rPr>
        <w:t xml:space="preserve"> of trees for sale or for processing into logs, pulpwood, bolt wood, wood chips, stud wood, poles, pilings, biomass or fuel wood or other products commonly known as forest products.</w:t>
      </w:r>
    </w:p>
    <w:p w:rsidR="00192D65" w:rsidP="00192D65">
      <w:pPr>
        <w:ind w:left="360" w:firstLine="360"/>
        <w:rPr>
          <w:rFonts w:ascii="Arial" w:eastAsia="Arial" w:hAnsi="Arial" w:cs="Arial"/>
        </w:rPr>
      </w:pPr>
      <w:bookmarkStart w:id="15" w:name="_PAR__14_e3790e5b_65f1_436b_a481_4c9909c"/>
      <w:bookmarkEnd w:id="14"/>
      <w:r>
        <w:rPr>
          <w:rFonts w:ascii="Arial" w:eastAsia="Arial" w:hAnsi="Arial" w:cs="Arial"/>
          <w:b/>
          <w:sz w:val="24"/>
        </w:rPr>
        <w:t>Sec. 2.  36 MRSA §2013, sub-§1, ¶C,</w:t>
      </w:r>
      <w:r>
        <w:rPr>
          <w:rFonts w:ascii="Arial" w:eastAsia="Arial" w:hAnsi="Arial" w:cs="Arial"/>
        </w:rPr>
        <w:t xml:space="preserve"> as amended by PL 2019, c. 7, §2, is further amended by amending subparagraph (4) to read:</w:t>
      </w:r>
    </w:p>
    <w:p w:rsidR="00192D65" w:rsidP="00192D65">
      <w:pPr>
        <w:ind w:left="1080"/>
        <w:rPr>
          <w:rFonts w:ascii="Arial" w:eastAsia="Arial" w:hAnsi="Arial" w:cs="Arial"/>
        </w:rPr>
      </w:pPr>
      <w:bookmarkStart w:id="16" w:name="_PAR__15_e70468e8_aa4a_49a5_9731_f4325d3"/>
      <w:bookmarkEnd w:id="15"/>
      <w:r>
        <w:rPr>
          <w:rFonts w:ascii="Arial" w:eastAsia="Arial" w:hAnsi="Arial" w:cs="Arial"/>
        </w:rPr>
        <w:t>(4)  New or used machinery and equipment for use directly and primarily in commercial wood harvesting, including, but not limited to, chain saws</w:t>
      </w:r>
      <w:r>
        <w:rPr>
          <w:rFonts w:ascii="Arial" w:eastAsia="Arial" w:hAnsi="Arial" w:cs="Arial"/>
          <w:strike/>
        </w:rPr>
        <w:t>,</w:t>
      </w:r>
      <w:r>
        <w:rPr>
          <w:rFonts w:ascii="Arial" w:eastAsia="Arial" w:hAnsi="Arial" w:cs="Arial"/>
          <w:u w:val="single"/>
        </w:rPr>
        <w:t>;</w:t>
      </w:r>
      <w:r>
        <w:rPr>
          <w:rFonts w:ascii="Arial" w:eastAsia="Arial" w:hAnsi="Arial" w:cs="Arial"/>
        </w:rPr>
        <w:t xml:space="preserve"> skidders</w:t>
      </w:r>
      <w:r>
        <w:rPr>
          <w:rFonts w:ascii="Arial" w:eastAsia="Arial" w:hAnsi="Arial" w:cs="Arial"/>
          <w:strike/>
        </w:rPr>
        <w:t>,</w:t>
      </w:r>
      <w:r>
        <w:rPr>
          <w:rFonts w:ascii="Arial" w:eastAsia="Arial" w:hAnsi="Arial" w:cs="Arial"/>
          <w:u w:val="single"/>
        </w:rPr>
        <w:t>;</w:t>
      </w:r>
      <w:r>
        <w:rPr>
          <w:rFonts w:ascii="Arial" w:eastAsia="Arial" w:hAnsi="Arial" w:cs="Arial"/>
        </w:rPr>
        <w:t xml:space="preserve"> delimbers</w:t>
      </w:r>
      <w:r>
        <w:rPr>
          <w:rFonts w:ascii="Arial" w:eastAsia="Arial" w:hAnsi="Arial" w:cs="Arial"/>
          <w:strike/>
        </w:rPr>
        <w:t>,</w:t>
      </w:r>
      <w:r>
        <w:rPr>
          <w:rFonts w:ascii="Arial" w:eastAsia="Arial" w:hAnsi="Arial" w:cs="Arial"/>
          <w:u w:val="single"/>
        </w:rPr>
        <w:t>;</w:t>
      </w:r>
      <w:r>
        <w:rPr>
          <w:rFonts w:ascii="Arial" w:eastAsia="Arial" w:hAnsi="Arial" w:cs="Arial"/>
        </w:rPr>
        <w:t xml:space="preserve"> forwarders</w:t>
      </w:r>
      <w:r>
        <w:rPr>
          <w:rFonts w:ascii="Arial" w:eastAsia="Arial" w:hAnsi="Arial" w:cs="Arial"/>
          <w:strike/>
        </w:rPr>
        <w:t>,</w:t>
      </w:r>
      <w:r>
        <w:rPr>
          <w:rFonts w:ascii="Arial" w:eastAsia="Arial" w:hAnsi="Arial" w:cs="Arial"/>
          <w:u w:val="single"/>
        </w:rPr>
        <w:t>;</w:t>
      </w:r>
      <w:r>
        <w:rPr>
          <w:rFonts w:ascii="Arial" w:eastAsia="Arial" w:hAnsi="Arial" w:cs="Arial"/>
        </w:rPr>
        <w:t xml:space="preserve"> slashers</w:t>
      </w:r>
      <w:r>
        <w:rPr>
          <w:rFonts w:ascii="Arial" w:eastAsia="Arial" w:hAnsi="Arial" w:cs="Arial"/>
          <w:strike/>
        </w:rPr>
        <w:t>,</w:t>
      </w:r>
      <w:r>
        <w:rPr>
          <w:rFonts w:ascii="Arial" w:eastAsia="Arial" w:hAnsi="Arial" w:cs="Arial"/>
          <w:u w:val="single"/>
        </w:rPr>
        <w:t>;</w:t>
      </w:r>
      <w:r>
        <w:rPr>
          <w:rFonts w:ascii="Arial" w:eastAsia="Arial" w:hAnsi="Arial" w:cs="Arial"/>
        </w:rPr>
        <w:t xml:space="preserve"> feller bunchers </w:t>
      </w:r>
      <w:r>
        <w:rPr>
          <w:rFonts w:ascii="Arial" w:eastAsia="Arial" w:hAnsi="Arial" w:cs="Arial"/>
          <w:strike/>
        </w:rPr>
        <w:t>and</w:t>
      </w:r>
      <w:r>
        <w:rPr>
          <w:rFonts w:ascii="Arial" w:eastAsia="Arial" w:hAnsi="Arial" w:cs="Arial"/>
          <w:u w:val="single"/>
        </w:rPr>
        <w:t>;</w:t>
      </w:r>
      <w:r>
        <w:rPr>
          <w:rFonts w:ascii="Arial" w:eastAsia="Arial" w:hAnsi="Arial" w:cs="Arial"/>
        </w:rPr>
        <w:t xml:space="preserve"> wood chippers</w:t>
      </w:r>
      <w:r>
        <w:rPr>
          <w:rFonts w:ascii="Arial" w:eastAsia="Arial" w:hAnsi="Arial" w:cs="Arial"/>
          <w:u w:val="single"/>
        </w:rPr>
        <w:t>; semitrailers as defined in Title 29-A, section 101, subsection 66; trailers as defined in Title 29</w:t>
      </w:r>
      <w:r>
        <w:rPr>
          <w:rFonts w:ascii="Arial" w:eastAsia="Arial" w:hAnsi="Arial" w:cs="Arial"/>
          <w:u w:val="single"/>
        </w:rPr>
        <w:noBreakHyphen/>
        <w:t>A, section 101, subsection 86; trucks as defined in Title 29</w:t>
      </w:r>
      <w:r>
        <w:rPr>
          <w:rFonts w:ascii="Arial" w:eastAsia="Arial" w:hAnsi="Arial" w:cs="Arial"/>
          <w:u w:val="single"/>
        </w:rPr>
        <w:noBreakHyphen/>
        <w:t>A, section 101, subsection 88; and truck tractors as defined in Title 29</w:t>
      </w:r>
      <w:r>
        <w:rPr>
          <w:rFonts w:ascii="Arial" w:eastAsia="Arial" w:hAnsi="Arial" w:cs="Arial"/>
          <w:u w:val="single"/>
        </w:rPr>
        <w:noBreakHyphen/>
        <w:t>A, section 101, subsection 90</w:t>
      </w:r>
      <w:r>
        <w:rPr>
          <w:rFonts w:ascii="Arial" w:eastAsia="Arial" w:hAnsi="Arial" w:cs="Arial"/>
        </w:rPr>
        <w:t>.</w:t>
      </w:r>
    </w:p>
    <w:p w:rsidR="00192D65" w:rsidP="00192D65">
      <w:pPr>
        <w:ind w:left="360" w:firstLine="360"/>
        <w:rPr>
          <w:rFonts w:ascii="Arial" w:eastAsia="Arial" w:hAnsi="Arial" w:cs="Arial"/>
        </w:rPr>
      </w:pPr>
      <w:bookmarkStart w:id="17" w:name="_PAR__16_189faba8_95fa_41ea_827e_37145af"/>
      <w:bookmarkEnd w:id="16"/>
      <w:r>
        <w:rPr>
          <w:rFonts w:ascii="Arial" w:eastAsia="Arial" w:hAnsi="Arial" w:cs="Arial"/>
          <w:b/>
          <w:sz w:val="24"/>
        </w:rPr>
        <w:t>Sec. 3.  36 MRSA §2013, sub-§1, ¶C,</w:t>
      </w:r>
      <w:r>
        <w:rPr>
          <w:rFonts w:ascii="Arial" w:eastAsia="Arial" w:hAnsi="Arial" w:cs="Arial"/>
        </w:rPr>
        <w:t xml:space="preserve"> as amended by PL 2019, c. 7, §2, is further amended by amending the first blocked paragraph to read:</w:t>
      </w:r>
    </w:p>
    <w:p w:rsidR="00192D65" w:rsidP="00192D65">
      <w:pPr>
        <w:ind w:left="720"/>
        <w:rPr>
          <w:rFonts w:ascii="Arial" w:eastAsia="Arial" w:hAnsi="Arial" w:cs="Arial"/>
        </w:rPr>
      </w:pPr>
      <w:bookmarkStart w:id="18" w:name="_PAR__17_5f4e2eb2_a1d1_4bad_b67b_e204378"/>
      <w:bookmarkEnd w:id="17"/>
      <w:r>
        <w:rPr>
          <w:rFonts w:ascii="Arial" w:eastAsia="Arial" w:hAnsi="Arial" w:cs="Arial"/>
          <w:strike/>
        </w:rPr>
        <w:t>"Depreciable</w:t>
      </w:r>
      <w:r>
        <w:rPr>
          <w:rFonts w:ascii="Arial" w:eastAsia="Arial" w:hAnsi="Arial" w:cs="Arial"/>
        </w:rPr>
        <w:t xml:space="preserve"> </w:t>
      </w:r>
      <w:r>
        <w:rPr>
          <w:rFonts w:ascii="Arial" w:eastAsia="Arial" w:hAnsi="Arial" w:cs="Arial"/>
          <w:u w:val="single"/>
        </w:rPr>
        <w:t>Except as provided in subparagraph (4), "depreciable</w:t>
      </w:r>
      <w:r>
        <w:rPr>
          <w:rFonts w:ascii="Arial" w:eastAsia="Arial" w:hAnsi="Arial" w:cs="Arial"/>
        </w:rPr>
        <w:t xml:space="preserve"> machinery and equipment" does not include a motor vehicle as defined in section 1752, subsection 7 or a trailer as defined in section 1752, subsection 19‑A.</w:t>
      </w:r>
    </w:p>
    <w:p w:rsidR="00192D65" w:rsidP="00192D65">
      <w:pPr>
        <w:ind w:left="360" w:firstLine="360"/>
        <w:rPr>
          <w:rFonts w:ascii="Arial" w:eastAsia="Arial" w:hAnsi="Arial" w:cs="Arial"/>
        </w:rPr>
      </w:pPr>
      <w:bookmarkStart w:id="19" w:name="_PAR__18_9438d370_8e67_4cc7_9bf0_2305a76"/>
      <w:bookmarkEnd w:id="18"/>
      <w:r>
        <w:rPr>
          <w:rFonts w:ascii="Arial" w:eastAsia="Arial" w:hAnsi="Arial" w:cs="Arial"/>
          <w:b/>
          <w:sz w:val="24"/>
        </w:rPr>
        <w:t>Sec. 4.  36 MRSA §2013, sub-§1, ¶D</w:t>
      </w:r>
      <w:r>
        <w:rPr>
          <w:rFonts w:ascii="Arial" w:eastAsia="Arial" w:hAnsi="Arial" w:cs="Arial"/>
        </w:rPr>
        <w:t xml:space="preserve"> is enacted to read:</w:t>
      </w:r>
    </w:p>
    <w:p w:rsidR="00192D65" w:rsidP="00192D65">
      <w:pPr>
        <w:ind w:left="720"/>
        <w:rPr>
          <w:rFonts w:ascii="Arial" w:eastAsia="Arial" w:hAnsi="Arial" w:cs="Arial"/>
        </w:rPr>
      </w:pPr>
      <w:bookmarkStart w:id="20" w:name="_PAGE__2_ddb50567_7c92_4b1f_bf0e_5895083"/>
      <w:bookmarkStart w:id="21" w:name="_PAR__2_3548b85d_f0eb_46a9_8ccf_9351e55f"/>
      <w:bookmarkEnd w:id="1"/>
      <w:bookmarkEnd w:id="19"/>
      <w:r>
        <w:rPr>
          <w:rFonts w:ascii="Arial" w:eastAsia="Arial" w:hAnsi="Arial" w:cs="Arial"/>
          <w:u w:val="single"/>
        </w:rPr>
        <w:t>D.  "Hauling" means the transportation of forest products from the forest land where the forest products were harvested to their initial destination involving production or use.</w:t>
      </w:r>
    </w:p>
    <w:p w:rsidR="00192D65" w:rsidP="00192D65">
      <w:pPr>
        <w:ind w:left="360" w:firstLine="360"/>
        <w:rPr>
          <w:rFonts w:ascii="Arial" w:eastAsia="Arial" w:hAnsi="Arial" w:cs="Arial"/>
        </w:rPr>
      </w:pPr>
      <w:bookmarkStart w:id="22" w:name="_PAR__3_3a78669f_3d0d_4b12_8b5c_4e996b95"/>
      <w:bookmarkEnd w:id="21"/>
      <w:r>
        <w:rPr>
          <w:rFonts w:ascii="Arial" w:eastAsia="Arial" w:hAnsi="Arial" w:cs="Arial"/>
          <w:b/>
          <w:sz w:val="24"/>
        </w:rPr>
        <w:t>Sec. 5.  36 MRSA §2013, sub-§2,</w:t>
      </w:r>
      <w:r>
        <w:rPr>
          <w:rFonts w:ascii="Arial" w:eastAsia="Arial" w:hAnsi="Arial" w:cs="Arial"/>
        </w:rPr>
        <w:t xml:space="preserve"> as amended by PL 2015, c. 481, Pt. B, §1 and affected by §2, is further amended by enacting a new 4th blocked paragraph to read:</w:t>
      </w:r>
    </w:p>
    <w:p w:rsidR="00192D65" w:rsidP="00192D65">
      <w:pPr>
        <w:ind w:left="360"/>
        <w:rPr>
          <w:rFonts w:ascii="Arial" w:eastAsia="Arial" w:hAnsi="Arial" w:cs="Arial"/>
        </w:rPr>
      </w:pPr>
      <w:bookmarkStart w:id="23" w:name="_PAR__4_ef9239cb_ffd8_431e_bbe3_dae594a8"/>
      <w:bookmarkEnd w:id="22"/>
      <w:r>
        <w:rPr>
          <w:rFonts w:ascii="Arial" w:eastAsia="Arial" w:hAnsi="Arial" w:cs="Arial"/>
          <w:u w:val="single"/>
        </w:rPr>
        <w:t>In order for a purchaser or lessee engaged in commercial wood harvesting to qualify for a refund under this subsection, the purchaser or lessee applying for the refund must have its headquarters located in this State and a physical place of business in this State at which workers have the opportunity to apply for employment and shall provide evidence of payment of any property tax or excise tax due on the depreciable machinery and equipment for which the purchaser or lessee is seeking a refund of sales tax paid on that depreciable machinery and equipment.  The purchaser or lessee also shall show evidence of a valid state inspection, pursuant to Title 29-A, chapter 15, of the semitrailer, trailer, truck or truck tractor used in a commercial wood harvesting operation for which the purchaser or lessee is seeking a refund of sales tax.</w:t>
      </w:r>
    </w:p>
    <w:p w:rsidR="00192D65" w:rsidP="00192D65">
      <w:pPr>
        <w:ind w:left="360" w:firstLine="360"/>
        <w:rPr>
          <w:rFonts w:ascii="Arial" w:eastAsia="Arial" w:hAnsi="Arial" w:cs="Arial"/>
        </w:rPr>
      </w:pPr>
      <w:bookmarkStart w:id="24" w:name="_PAR__5_ae1e1274_9b58_4c55_987d_4ceb10bb"/>
      <w:bookmarkEnd w:id="23"/>
      <w:r>
        <w:rPr>
          <w:rFonts w:ascii="Arial" w:eastAsia="Arial" w:hAnsi="Arial" w:cs="Arial"/>
          <w:b/>
          <w:sz w:val="24"/>
        </w:rPr>
        <w:t>Sec. 6.  36 MRSA §2013, sub-§3,</w:t>
      </w:r>
      <w:r>
        <w:rPr>
          <w:rFonts w:ascii="Arial" w:eastAsia="Arial" w:hAnsi="Arial" w:cs="Arial"/>
        </w:rPr>
        <w:t xml:space="preserve"> as amended by PL 2015, c. 481, Pt. B, §1 and affected by §2, is further amended by enacting a new first blocked paragraph to read:</w:t>
      </w:r>
    </w:p>
    <w:p w:rsidR="00192D65" w:rsidP="00192D65">
      <w:pPr>
        <w:ind w:left="360"/>
        <w:rPr>
          <w:rFonts w:ascii="Arial" w:eastAsia="Arial" w:hAnsi="Arial" w:cs="Arial"/>
        </w:rPr>
      </w:pPr>
      <w:bookmarkStart w:id="25" w:name="_PAR__6_dcdb31a6_2b40_407e_8b61_8088ec3f"/>
      <w:bookmarkEnd w:id="24"/>
      <w:r>
        <w:rPr>
          <w:rFonts w:ascii="Arial" w:eastAsia="Arial" w:hAnsi="Arial" w:cs="Arial"/>
          <w:u w:val="single"/>
        </w:rPr>
        <w:t>In order for any purchaser or lessee engaged in commercial wood harvesting to qualify for or to maintain this exemption, the purchaser or lessee must have its headquarters located in this State and a physical place of business in this State at which workers have the opportunity to apply for employment and shall provide evidence of payment of any property tax or excise tax due on the depreciable machinery and equipment for which the purchaser or lessee is seeking to qualify for or maintain the exemption.  The purchaser or lessee also shall provide evidence of a valid state inspection, pursuant to Title 29-A, chapter 15, of the semitrailer, trailer, truck or truck tractor used in a commercial wood harvesting operation for which the person is seeking to qualify for or maintain the exemption.</w:t>
      </w:r>
    </w:p>
    <w:p w:rsidR="00192D65" w:rsidP="00192D65">
      <w:pPr>
        <w:ind w:left="360" w:firstLine="360"/>
        <w:rPr>
          <w:rFonts w:ascii="Arial" w:eastAsia="Arial" w:hAnsi="Arial" w:cs="Arial"/>
        </w:rPr>
      </w:pPr>
      <w:bookmarkStart w:id="26" w:name="_PAR__7_ae68e57b_8cd0_4134_9f8b_3f53457c"/>
      <w:bookmarkEnd w:id="25"/>
      <w:r>
        <w:rPr>
          <w:rFonts w:ascii="Arial" w:eastAsia="Arial" w:hAnsi="Arial" w:cs="Arial"/>
          <w:b/>
          <w:sz w:val="24"/>
        </w:rPr>
        <w:t>Sec. 7.  Appropriations and allocations.</w:t>
      </w:r>
      <w:r>
        <w:rPr>
          <w:rFonts w:ascii="Arial" w:eastAsia="Arial" w:hAnsi="Arial" w:cs="Arial"/>
        </w:rPr>
        <w:t>  The following appropriations and allocations are made.</w:t>
      </w:r>
    </w:p>
    <w:p w:rsidR="00192D65" w:rsidP="00192D65">
      <w:pPr>
        <w:pStyle w:val="BPSParagraphLeftAlign"/>
        <w:suppressAutoHyphens/>
        <w:ind w:left="360"/>
        <w:rPr>
          <w:rFonts w:ascii="Arial" w:eastAsia="Arial" w:hAnsi="Arial" w:cs="Arial"/>
        </w:rPr>
      </w:pPr>
      <w:bookmarkStart w:id="27" w:name="_PAR__8_dc63a9bc_8df2_4eaa_8911_b9507ef4"/>
      <w:bookmarkEnd w:id="26"/>
      <w:r>
        <w:rPr>
          <w:rFonts w:ascii="Arial" w:eastAsia="Arial" w:hAnsi="Arial" w:cs="Arial"/>
          <w:b/>
        </w:rPr>
        <w:t>ADMINISTRATIVE AND FINANCIAL SERVICES, DEPARTMENT OF</w:t>
      </w:r>
    </w:p>
    <w:p w:rsidR="00192D65" w:rsidP="00192D65">
      <w:pPr>
        <w:pStyle w:val="BPSParagraphLeftAlign"/>
        <w:suppressAutoHyphens/>
        <w:ind w:left="360"/>
        <w:rPr>
          <w:rFonts w:ascii="Arial" w:eastAsia="Arial" w:hAnsi="Arial" w:cs="Arial"/>
        </w:rPr>
      </w:pPr>
      <w:bookmarkStart w:id="28" w:name="_PAR__9_5a9f510a_b42e_4538_9796_554d891c"/>
      <w:bookmarkEnd w:id="27"/>
      <w:r>
        <w:rPr>
          <w:rFonts w:ascii="Arial" w:eastAsia="Arial" w:hAnsi="Arial" w:cs="Arial"/>
          <w:b/>
        </w:rPr>
        <w:t>Revenue Services, Bureau of 0002</w:t>
      </w:r>
    </w:p>
    <w:p w:rsidR="00192D65" w:rsidP="00192D65">
      <w:pPr>
        <w:ind w:left="360"/>
        <w:rPr>
          <w:rFonts w:ascii="Arial" w:eastAsia="Arial" w:hAnsi="Arial" w:cs="Arial"/>
        </w:rPr>
      </w:pPr>
      <w:bookmarkStart w:id="29" w:name="_PAR__10_efc4d458_8f81_412c_82a1_7642654"/>
      <w:bookmarkEnd w:id="28"/>
      <w:r>
        <w:rPr>
          <w:rFonts w:ascii="Arial" w:eastAsia="Arial" w:hAnsi="Arial" w:cs="Arial"/>
        </w:rPr>
        <w:t>Initiative: Provides one-time funding for computer programming costs to implement changes to the sales tax exemption and refund for commercial wood harvesting.</w:t>
      </w:r>
    </w:p>
    <w:tbl>
      <w:tblPr>
        <w:tblStyle w:val="BPSTable"/>
        <w:tblW w:w="0" w:type="auto"/>
        <w:tblInd w:w="360" w:type="dxa"/>
        <w:tblCellMar>
          <w:left w:w="0" w:type="dxa"/>
          <w:right w:w="0" w:type="dxa"/>
        </w:tblCellMar>
        <w:tblLook w:val="04A0"/>
      </w:tblPr>
      <w:tblGrid>
        <w:gridCol w:w="5009"/>
        <w:gridCol w:w="1463"/>
        <w:gridCol w:w="1463"/>
      </w:tblGrid>
      <w:tr w:rsidTr="00BA1877">
        <w:tblPrEx>
          <w:tblW w:w="0" w:type="auto"/>
          <w:tblInd w:w="360" w:type="dxa"/>
          <w:tblCellMar>
            <w:left w:w="0" w:type="dxa"/>
            <w:right w:w="0" w:type="dxa"/>
          </w:tblCellMar>
          <w:tblLook w:val="04A0"/>
        </w:tblPrEx>
        <w:tc>
          <w:tcPr>
            <w:tcW w:w="5069" w:type="dxa"/>
          </w:tcPr>
          <w:p w:rsidR="00192D65" w:rsidP="00BA1877">
            <w:pPr>
              <w:spacing w:before="0" w:after="0"/>
              <w:rPr>
                <w:rFonts w:ascii="Arial" w:eastAsia="Arial" w:hAnsi="Arial" w:cs="Arial"/>
              </w:rPr>
            </w:pPr>
            <w:bookmarkStart w:id="30" w:name="_PAR__11_d5a11b95_ee1e_40c0_b681_406b474"/>
            <w:bookmarkStart w:id="31" w:name="_LINE__33_244148a1_4669_4a5f_805f_21d88b"/>
            <w:bookmarkEnd w:id="29"/>
            <w:r>
              <w:rPr>
                <w:rFonts w:ascii="Arial" w:eastAsia="Arial" w:hAnsi="Arial" w:cs="Arial"/>
                <w:b/>
              </w:rPr>
              <w:t>GENERAL FUND</w:t>
            </w:r>
            <w:bookmarkEnd w:id="31"/>
          </w:p>
        </w:tc>
        <w:tc>
          <w:tcPr>
            <w:tcW w:w="1469" w:type="dxa"/>
          </w:tcPr>
          <w:p w:rsidR="00192D65" w:rsidP="00BA1877">
            <w:pPr>
              <w:spacing w:before="0" w:after="0"/>
              <w:jc w:val="right"/>
              <w:rPr>
                <w:rFonts w:ascii="Arial" w:eastAsia="Arial" w:hAnsi="Arial" w:cs="Arial"/>
              </w:rPr>
            </w:pPr>
            <w:bookmarkStart w:id="32" w:name="_LINE__33_c8af8e60_ffbd_428c_8a2f_f7405e"/>
            <w:r>
              <w:rPr>
                <w:rFonts w:ascii="Arial" w:eastAsia="Arial" w:hAnsi="Arial" w:cs="Arial"/>
                <w:b/>
              </w:rPr>
              <w:t>2023-24</w:t>
            </w:r>
            <w:bookmarkEnd w:id="32"/>
          </w:p>
        </w:tc>
        <w:tc>
          <w:tcPr>
            <w:tcW w:w="1469" w:type="dxa"/>
          </w:tcPr>
          <w:p w:rsidR="00192D65" w:rsidP="00BA1877">
            <w:pPr>
              <w:spacing w:before="0" w:after="0"/>
              <w:jc w:val="right"/>
              <w:rPr>
                <w:rFonts w:ascii="Arial" w:eastAsia="Arial" w:hAnsi="Arial" w:cs="Arial"/>
              </w:rPr>
            </w:pPr>
            <w:bookmarkStart w:id="33" w:name="_LINE__33_cae0b8fa_b4b1_4d60_b5e1_0a133c"/>
            <w:r>
              <w:rPr>
                <w:rFonts w:ascii="Arial" w:eastAsia="Arial" w:hAnsi="Arial" w:cs="Arial"/>
                <w:b/>
              </w:rPr>
              <w:t>2024-25</w:t>
            </w:r>
            <w:bookmarkEnd w:id="33"/>
          </w:p>
        </w:tc>
      </w:tr>
      <w:tr w:rsidTr="00BA1877">
        <w:tblPrEx>
          <w:tblW w:w="0" w:type="auto"/>
          <w:tblInd w:w="360" w:type="dxa"/>
          <w:tblCellMar>
            <w:left w:w="0" w:type="dxa"/>
            <w:right w:w="0" w:type="dxa"/>
          </w:tblCellMar>
          <w:tblLook w:val="04A0"/>
        </w:tblPrEx>
        <w:tc>
          <w:tcPr>
            <w:tcW w:w="5069" w:type="dxa"/>
          </w:tcPr>
          <w:p w:rsidR="00192D65" w:rsidP="00BA1877">
            <w:pPr>
              <w:spacing w:before="0" w:after="0"/>
              <w:ind w:left="180"/>
              <w:rPr>
                <w:rFonts w:ascii="Arial" w:eastAsia="Arial" w:hAnsi="Arial" w:cs="Arial"/>
              </w:rPr>
            </w:pPr>
            <w:bookmarkStart w:id="34" w:name="_LINE__34_f304d6e1_b05a_4d9d_b217_5a0bb0"/>
            <w:r>
              <w:rPr>
                <w:rFonts w:ascii="Arial" w:eastAsia="Arial" w:hAnsi="Arial" w:cs="Arial"/>
              </w:rPr>
              <w:t>All Other</w:t>
            </w:r>
            <w:bookmarkEnd w:id="34"/>
          </w:p>
        </w:tc>
        <w:tc>
          <w:tcPr>
            <w:tcW w:w="1469" w:type="dxa"/>
          </w:tcPr>
          <w:p w:rsidR="00192D65" w:rsidP="00BA1877">
            <w:pPr>
              <w:spacing w:before="0" w:after="0"/>
              <w:jc w:val="right"/>
              <w:rPr>
                <w:rFonts w:ascii="Arial" w:eastAsia="Arial" w:hAnsi="Arial" w:cs="Arial"/>
              </w:rPr>
            </w:pPr>
            <w:bookmarkStart w:id="35" w:name="_LINE__34_c7582886_e05e_4bb8_9760_db79bd"/>
            <w:r>
              <w:rPr>
                <w:rFonts w:ascii="Arial" w:eastAsia="Arial" w:hAnsi="Arial" w:cs="Arial"/>
              </w:rPr>
              <w:t>$0</w:t>
            </w:r>
            <w:bookmarkEnd w:id="35"/>
          </w:p>
        </w:tc>
        <w:tc>
          <w:tcPr>
            <w:tcW w:w="1469" w:type="dxa"/>
          </w:tcPr>
          <w:p w:rsidR="00192D65" w:rsidP="00BA1877">
            <w:pPr>
              <w:spacing w:before="0" w:after="0"/>
              <w:jc w:val="right"/>
              <w:rPr>
                <w:rFonts w:ascii="Arial" w:eastAsia="Arial" w:hAnsi="Arial" w:cs="Arial"/>
              </w:rPr>
            </w:pPr>
            <w:bookmarkStart w:id="36" w:name="_LINE__34_9d22a570_fa6c_454f_b2de_6dcd08"/>
            <w:r>
              <w:rPr>
                <w:rFonts w:ascii="Arial" w:eastAsia="Arial" w:hAnsi="Arial" w:cs="Arial"/>
              </w:rPr>
              <w:t>$4,000</w:t>
            </w:r>
            <w:bookmarkEnd w:id="36"/>
          </w:p>
        </w:tc>
      </w:tr>
      <w:tr w:rsidTr="00BA1877">
        <w:tblPrEx>
          <w:tblW w:w="0" w:type="auto"/>
          <w:tblInd w:w="360" w:type="dxa"/>
          <w:tblCellMar>
            <w:left w:w="0" w:type="dxa"/>
            <w:right w:w="0" w:type="dxa"/>
          </w:tblCellMar>
          <w:tblLook w:val="04A0"/>
        </w:tblPrEx>
        <w:tc>
          <w:tcPr>
            <w:tcW w:w="5069" w:type="dxa"/>
          </w:tcPr>
          <w:p w:rsidR="00192D65" w:rsidP="00BA1877">
            <w:pPr>
              <w:spacing w:before="0" w:after="0"/>
              <w:rPr>
                <w:rFonts w:ascii="Arial" w:eastAsia="Arial" w:hAnsi="Arial" w:cs="Arial"/>
              </w:rPr>
            </w:pPr>
            <w:bookmarkStart w:id="37" w:name="_LINE__35_006ddf22_f854_42ff_b73e_722440"/>
            <w:r>
              <w:rPr>
                <w:rFonts w:ascii="Arial" w:eastAsia="Arial" w:hAnsi="Arial" w:cs="Arial"/>
              </w:rPr>
              <w:t xml:space="preserve"> </w:t>
            </w:r>
            <w:bookmarkEnd w:id="37"/>
          </w:p>
        </w:tc>
        <w:tc>
          <w:tcPr>
            <w:tcW w:w="1469" w:type="dxa"/>
          </w:tcPr>
          <w:p w:rsidR="00192D65" w:rsidP="00BA1877">
            <w:pPr>
              <w:spacing w:before="0" w:after="0"/>
              <w:jc w:val="right"/>
              <w:rPr>
                <w:rFonts w:ascii="Arial" w:eastAsia="Arial" w:hAnsi="Arial" w:cs="Arial"/>
              </w:rPr>
            </w:pPr>
            <w:bookmarkStart w:id="38" w:name="_LINE__35_567996e1_0290_4216_8db0_170ffe"/>
            <w:r>
              <w:rPr>
                <w:rFonts w:ascii="Arial" w:eastAsia="Arial" w:hAnsi="Arial" w:cs="Arial"/>
              </w:rPr>
              <w:t>__________</w:t>
            </w:r>
            <w:bookmarkEnd w:id="38"/>
          </w:p>
        </w:tc>
        <w:tc>
          <w:tcPr>
            <w:tcW w:w="1469" w:type="dxa"/>
          </w:tcPr>
          <w:p w:rsidR="00192D65" w:rsidP="00BA1877">
            <w:pPr>
              <w:spacing w:before="0" w:after="0"/>
              <w:jc w:val="right"/>
              <w:rPr>
                <w:rFonts w:ascii="Arial" w:eastAsia="Arial" w:hAnsi="Arial" w:cs="Arial"/>
              </w:rPr>
            </w:pPr>
            <w:bookmarkStart w:id="39" w:name="_LINE__35_a017ee48_81b0_4b48_84cd_89a28e"/>
            <w:r>
              <w:rPr>
                <w:rFonts w:ascii="Arial" w:eastAsia="Arial" w:hAnsi="Arial" w:cs="Arial"/>
              </w:rPr>
              <w:t>__________</w:t>
            </w:r>
            <w:bookmarkEnd w:id="39"/>
          </w:p>
        </w:tc>
      </w:tr>
      <w:tr w:rsidTr="00BA1877">
        <w:tblPrEx>
          <w:tblW w:w="0" w:type="auto"/>
          <w:tblInd w:w="360" w:type="dxa"/>
          <w:tblCellMar>
            <w:left w:w="0" w:type="dxa"/>
            <w:right w:w="0" w:type="dxa"/>
          </w:tblCellMar>
          <w:tblLook w:val="04A0"/>
        </w:tblPrEx>
        <w:tc>
          <w:tcPr>
            <w:tcW w:w="5069" w:type="dxa"/>
          </w:tcPr>
          <w:p w:rsidR="00192D65" w:rsidP="00BA1877">
            <w:pPr>
              <w:spacing w:before="0" w:after="0"/>
              <w:rPr>
                <w:rFonts w:ascii="Arial" w:eastAsia="Arial" w:hAnsi="Arial" w:cs="Arial"/>
              </w:rPr>
            </w:pPr>
            <w:bookmarkStart w:id="40" w:name="_LINE__36_dce16924_14d8_4502_8384_b7696c"/>
            <w:r>
              <w:rPr>
                <w:rFonts w:ascii="Arial" w:eastAsia="Arial" w:hAnsi="Arial" w:cs="Arial"/>
              </w:rPr>
              <w:t>GENERAL FUND TOTAL</w:t>
            </w:r>
            <w:bookmarkEnd w:id="40"/>
          </w:p>
        </w:tc>
        <w:tc>
          <w:tcPr>
            <w:tcW w:w="1469" w:type="dxa"/>
          </w:tcPr>
          <w:p w:rsidR="00192D65" w:rsidP="00BA1877">
            <w:pPr>
              <w:spacing w:before="0" w:after="0"/>
              <w:jc w:val="right"/>
              <w:rPr>
                <w:rFonts w:ascii="Arial" w:eastAsia="Arial" w:hAnsi="Arial" w:cs="Arial"/>
              </w:rPr>
            </w:pPr>
            <w:bookmarkStart w:id="41" w:name="_LINE__36_119c71a0_c3db_46a9_a55b_5b3f64"/>
            <w:r>
              <w:rPr>
                <w:rFonts w:ascii="Arial" w:eastAsia="Arial" w:hAnsi="Arial" w:cs="Arial"/>
              </w:rPr>
              <w:t>$0</w:t>
            </w:r>
            <w:bookmarkEnd w:id="41"/>
          </w:p>
        </w:tc>
        <w:tc>
          <w:tcPr>
            <w:tcW w:w="1469" w:type="dxa"/>
          </w:tcPr>
          <w:p w:rsidR="00192D65" w:rsidP="00BA1877">
            <w:pPr>
              <w:spacing w:before="0" w:after="0"/>
              <w:jc w:val="right"/>
              <w:rPr>
                <w:rFonts w:ascii="Arial" w:eastAsia="Arial" w:hAnsi="Arial" w:cs="Arial"/>
              </w:rPr>
            </w:pPr>
            <w:bookmarkStart w:id="42" w:name="_LINE__36_bf2e3b6e_5754_436e_9869_065391"/>
            <w:r>
              <w:rPr>
                <w:rFonts w:ascii="Arial" w:eastAsia="Arial" w:hAnsi="Arial" w:cs="Arial"/>
              </w:rPr>
              <w:t>$4,000</w:t>
            </w:r>
            <w:bookmarkEnd w:id="42"/>
          </w:p>
        </w:tc>
      </w:tr>
    </w:tbl>
    <w:p w:rsidR="00192D65" w:rsidP="00192D65">
      <w:pPr>
        <w:ind w:left="360" w:firstLine="360"/>
        <w:rPr>
          <w:rFonts w:ascii="Arial" w:eastAsia="Arial" w:hAnsi="Arial" w:cs="Arial"/>
        </w:rPr>
      </w:pPr>
      <w:bookmarkStart w:id="43" w:name="_PAR__12_00b9d788_b26f_4792_9617_47d9776"/>
      <w:bookmarkEnd w:id="30"/>
      <w:r>
        <w:rPr>
          <w:rFonts w:ascii="Arial" w:eastAsia="Arial" w:hAnsi="Arial" w:cs="Arial"/>
          <w:b/>
          <w:sz w:val="24"/>
        </w:rPr>
        <w:t xml:space="preserve">Sec. 8.  Effective date. </w:t>
      </w:r>
      <w:r>
        <w:rPr>
          <w:rFonts w:ascii="Arial" w:eastAsia="Arial" w:hAnsi="Arial" w:cs="Arial"/>
        </w:rPr>
        <w:t>This Act takes effect January 1, 2025 and applies to sales occurring on or after January 1, 2025.'</w:t>
      </w:r>
    </w:p>
    <w:p w:rsidR="00192D65" w:rsidP="00192D65">
      <w:pPr>
        <w:ind w:left="360" w:firstLine="360"/>
        <w:rPr>
          <w:rFonts w:ascii="Arial" w:eastAsia="Arial" w:hAnsi="Arial" w:cs="Arial"/>
        </w:rPr>
      </w:pPr>
      <w:bookmarkStart w:id="44" w:name="_INSTRUCTION__c4f32c07_8652_4f0d_aa29_bd"/>
      <w:bookmarkStart w:id="45" w:name="_PAR__13_84929637_95f7_4149_82e6_ffd406d"/>
      <w:bookmarkEnd w:id="11"/>
      <w:bookmarkEnd w:id="43"/>
      <w:r>
        <w:rPr>
          <w:rFonts w:ascii="Arial" w:eastAsia="Arial" w:hAnsi="Arial" w:cs="Arial"/>
        </w:rPr>
        <w:t>Amend the bill by relettering or renumbering any nonconsecutive Part letter or section number to read consecutively.</w:t>
      </w:r>
    </w:p>
    <w:p w:rsidR="00192D65" w:rsidP="00192D65">
      <w:pPr>
        <w:keepNext/>
        <w:spacing w:before="240"/>
        <w:ind w:left="360"/>
        <w:jc w:val="center"/>
        <w:rPr>
          <w:rFonts w:ascii="Arial" w:eastAsia="Arial" w:hAnsi="Arial" w:cs="Arial"/>
        </w:rPr>
      </w:pPr>
      <w:bookmarkStart w:id="46" w:name="_SUMMARY__04d85abe_9a2e_47fa_bd6f_08bb4e"/>
      <w:bookmarkStart w:id="47" w:name="_PAGE__3_5b2f997c_3c72_4cee_9cdf_af38f3b"/>
      <w:bookmarkStart w:id="48" w:name="_PAR__2_df123865_39b9_465b_87fb_166e12d4"/>
      <w:bookmarkEnd w:id="20"/>
      <w:bookmarkEnd w:id="44"/>
      <w:bookmarkEnd w:id="45"/>
      <w:r>
        <w:rPr>
          <w:rFonts w:ascii="Arial" w:eastAsia="Arial" w:hAnsi="Arial" w:cs="Arial"/>
          <w:b/>
          <w:sz w:val="24"/>
        </w:rPr>
        <w:t>SUMMARY</w:t>
      </w:r>
    </w:p>
    <w:p w:rsidR="00192D65" w:rsidP="00192D65">
      <w:pPr>
        <w:keepNext/>
        <w:ind w:left="360" w:firstLine="360"/>
        <w:rPr>
          <w:rFonts w:ascii="Arial" w:eastAsia="Arial" w:hAnsi="Arial" w:cs="Arial"/>
        </w:rPr>
      </w:pPr>
      <w:bookmarkStart w:id="49" w:name="_PAR__3_64de6fdc_f1bd_4b23_aab1_bc3c1aa2"/>
      <w:bookmarkEnd w:id="48"/>
      <w:r w:rsidRPr="00FD4928">
        <w:rPr>
          <w:rFonts w:ascii="Arial" w:eastAsia="Arial" w:hAnsi="Arial" w:cs="Arial"/>
        </w:rPr>
        <w:t xml:space="preserve">This amendment </w:t>
      </w:r>
      <w:r>
        <w:rPr>
          <w:rFonts w:ascii="Arial" w:eastAsia="Arial" w:hAnsi="Arial" w:cs="Arial"/>
        </w:rPr>
        <w:t xml:space="preserve">replaces the bill and </w:t>
      </w:r>
      <w:r w:rsidRPr="00FD4928">
        <w:rPr>
          <w:rFonts w:ascii="Arial" w:eastAsia="Arial" w:hAnsi="Arial" w:cs="Arial"/>
        </w:rPr>
        <w:t>provides a definition of "hauling" in relation to harvested forest products</w:t>
      </w:r>
      <w:r>
        <w:rPr>
          <w:rFonts w:ascii="Arial" w:eastAsia="Arial" w:hAnsi="Arial" w:cs="Arial"/>
        </w:rPr>
        <w:t>.</w:t>
      </w:r>
      <w:r w:rsidRPr="00FD4928">
        <w:rPr>
          <w:rFonts w:ascii="Arial" w:eastAsia="Arial" w:hAnsi="Arial" w:cs="Arial"/>
        </w:rPr>
        <w:t xml:space="preserve"> </w:t>
      </w:r>
      <w:r>
        <w:rPr>
          <w:rFonts w:ascii="Arial" w:eastAsia="Arial" w:hAnsi="Arial" w:cs="Arial"/>
        </w:rPr>
        <w:t xml:space="preserve"> </w:t>
      </w:r>
      <w:r w:rsidRPr="00FD4928">
        <w:rPr>
          <w:rFonts w:ascii="Arial" w:eastAsia="Arial" w:hAnsi="Arial" w:cs="Arial"/>
        </w:rPr>
        <w:t>The amendment removes from the bill a requirement that</w:t>
      </w:r>
      <w:r>
        <w:rPr>
          <w:rFonts w:ascii="Arial" w:eastAsia="Arial" w:hAnsi="Arial" w:cs="Arial"/>
        </w:rPr>
        <w:t>,</w:t>
      </w:r>
      <w:r w:rsidRPr="00FD4928">
        <w:rPr>
          <w:rFonts w:ascii="Arial" w:eastAsia="Arial" w:hAnsi="Arial" w:cs="Arial"/>
        </w:rPr>
        <w:t xml:space="preserve"> in order for a purchaser to be eligible for the proposed sales tax refund or exemption certificate</w:t>
      </w:r>
      <w:r>
        <w:rPr>
          <w:rFonts w:ascii="Arial" w:eastAsia="Arial" w:hAnsi="Arial" w:cs="Arial"/>
        </w:rPr>
        <w:t>,</w:t>
      </w:r>
      <w:r w:rsidRPr="00FD4928">
        <w:rPr>
          <w:rFonts w:ascii="Arial" w:eastAsia="Arial" w:hAnsi="Arial" w:cs="Arial"/>
        </w:rPr>
        <w:t xml:space="preserve"> the purchaser must show evidence of participation in the unemployment benefits program and </w:t>
      </w:r>
      <w:r>
        <w:rPr>
          <w:rFonts w:ascii="Arial" w:eastAsia="Arial" w:hAnsi="Arial" w:cs="Arial"/>
        </w:rPr>
        <w:t>instead requires</w:t>
      </w:r>
      <w:r w:rsidRPr="00FD4928">
        <w:rPr>
          <w:rFonts w:ascii="Arial" w:eastAsia="Arial" w:hAnsi="Arial" w:cs="Arial"/>
        </w:rPr>
        <w:t xml:space="preserve"> that the purchaser </w:t>
      </w:r>
      <w:r>
        <w:rPr>
          <w:rFonts w:ascii="Arial" w:eastAsia="Arial" w:hAnsi="Arial" w:cs="Arial"/>
        </w:rPr>
        <w:t xml:space="preserve">or lessee </w:t>
      </w:r>
      <w:r w:rsidRPr="00FD4928">
        <w:rPr>
          <w:rFonts w:ascii="Arial" w:eastAsia="Arial" w:hAnsi="Arial" w:cs="Arial"/>
        </w:rPr>
        <w:t xml:space="preserve">have a headquarters in </w:t>
      </w:r>
      <w:r>
        <w:rPr>
          <w:rFonts w:ascii="Arial" w:eastAsia="Arial" w:hAnsi="Arial" w:cs="Arial"/>
        </w:rPr>
        <w:t>the State</w:t>
      </w:r>
      <w:r w:rsidRPr="00FD4928">
        <w:rPr>
          <w:rFonts w:ascii="Arial" w:eastAsia="Arial" w:hAnsi="Arial" w:cs="Arial"/>
        </w:rPr>
        <w:t xml:space="preserve">, a physical location in </w:t>
      </w:r>
      <w:r>
        <w:rPr>
          <w:rFonts w:ascii="Arial" w:eastAsia="Arial" w:hAnsi="Arial" w:cs="Arial"/>
        </w:rPr>
        <w:t>the State</w:t>
      </w:r>
      <w:r w:rsidRPr="00FD4928">
        <w:rPr>
          <w:rFonts w:ascii="Arial" w:eastAsia="Arial" w:hAnsi="Arial" w:cs="Arial"/>
        </w:rPr>
        <w:t xml:space="preserve"> where workers may apply for employment and provide evidence of payment of property tax or excise tax and valid </w:t>
      </w:r>
      <w:r>
        <w:rPr>
          <w:rFonts w:ascii="Arial" w:eastAsia="Arial" w:hAnsi="Arial" w:cs="Arial"/>
        </w:rPr>
        <w:t>state</w:t>
      </w:r>
      <w:r w:rsidRPr="00FD4928">
        <w:rPr>
          <w:rFonts w:ascii="Arial" w:eastAsia="Arial" w:hAnsi="Arial" w:cs="Arial"/>
        </w:rPr>
        <w:t xml:space="preserve"> inspection of certain vehicles used in a commercial wood harvesting operation.</w:t>
      </w:r>
    </w:p>
    <w:p w:rsidR="00192D65" w:rsidP="00192D65">
      <w:pPr>
        <w:keepNext/>
        <w:spacing w:before="60" w:after="60"/>
        <w:ind w:left="360"/>
        <w:jc w:val="center"/>
        <w:rPr>
          <w:rFonts w:ascii="Arial" w:eastAsia="Arial" w:hAnsi="Arial" w:cs="Arial"/>
        </w:rPr>
      </w:pPr>
      <w:bookmarkStart w:id="50" w:name="_FISCAL_NOTE_REQUIRED__18eca82f_6b64_44d"/>
      <w:bookmarkStart w:id="51" w:name="_PAR__4_15ba9e2b_9c27_409b_b887_631dc697"/>
      <w:bookmarkEnd w:id="49"/>
      <w:r>
        <w:rPr>
          <w:rFonts w:ascii="Arial" w:eastAsia="Arial" w:hAnsi="Arial" w:cs="Arial"/>
          <w:b/>
        </w:rPr>
        <w:t>FISCAL NOTE REQUIRED</w:t>
      </w:r>
    </w:p>
    <w:p w:rsidR="00000000" w:rsidRPr="00192D65" w:rsidP="00192D65">
      <w:pPr>
        <w:spacing w:before="60" w:after="60"/>
        <w:ind w:left="360"/>
        <w:jc w:val="center"/>
        <w:rPr>
          <w:rFonts w:ascii="Arial" w:eastAsia="Arial" w:hAnsi="Arial" w:cs="Arial"/>
          <w:b/>
        </w:rPr>
      </w:pPr>
      <w:bookmarkStart w:id="52" w:name="_PAR__5_709ceaf4_a060_4488_939d_9aa5dbac"/>
      <w:bookmarkEnd w:id="51"/>
      <w:r>
        <w:rPr>
          <w:rFonts w:ascii="Arial" w:eastAsia="Arial" w:hAnsi="Arial" w:cs="Arial"/>
          <w:b/>
        </w:rPr>
        <w:t>(See attached)</w:t>
      </w:r>
      <w:bookmarkEnd w:id="46"/>
      <w:bookmarkEnd w:id="47"/>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LR3077,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Promote Equity in the Forest Products Industry by Allowing Commercial Wood Haulers to Be Eligible for Certain Sales Tax Exemptions and Refunds</w:t>
    </w:r>
  </w:p>
  <w:p>
    <w:pPr>
      <w:suppressLineNumbers/>
      <w:spacing w:before="0" w:after="0"/>
      <w:jc w:val="center"/>
      <w:rPr>
        <w:rFonts w:ascii="Arial" w:eastAsia="Arial" w:hAnsi="Arial" w:cs="Arial"/>
      </w:rPr>
    </w:pPr>
    <w:r>
      <w:rPr>
        <w:rFonts w:ascii="Arial" w:eastAsia="Arial" w:hAnsi="Arial" w:cs="Arial"/>
        <w:sz w:val="22"/>
      </w:rPr>
      <w:t>L.D. 2279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2D6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1877"/>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4928"/>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