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Directing the Department of Health and Human Services to Amend MaineCare Rules Governing Certain Types of Behavioral and Mental Health Services and to Form a Stakeholder Group to Study Methods for Improving Those Services</w:t>
      </w:r>
    </w:p>
    <w:p w:rsidR="00F51E24" w:rsidP="00F51E24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d8c09b5e_fe00_4ac0_9fb2_36"/>
      <w:bookmarkStart w:id="1" w:name="_PAGE__1_d2a58947_2665_4a5e_874a_d2502e4"/>
      <w:bookmarkStart w:id="2" w:name="_PAR__2_84c110b9_5e85_424f_ab25_864f5452"/>
      <w:r>
        <w:rPr>
          <w:rFonts w:ascii="Arial" w:eastAsia="Arial" w:hAnsi="Arial" w:cs="Arial"/>
          <w:caps/>
        </w:rPr>
        <w:t>L.D. 2243</w:t>
      </w:r>
    </w:p>
    <w:p w:rsidR="00F51E24" w:rsidP="00F51E24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d6614c99_7000_48fe_a46b_59245bde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F51E24" w:rsidP="00F51E24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dd73ba30_3013_4a90_88ce_d06f7618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Health and Human Services </w:t>
      </w:r>
    </w:p>
    <w:p w:rsidR="00F51E24" w:rsidP="00F51E24">
      <w:pPr>
        <w:spacing w:before="60" w:after="60"/>
        <w:ind w:left="720"/>
        <w:rPr>
          <w:rFonts w:ascii="Arial" w:eastAsia="Arial" w:hAnsi="Arial" w:cs="Arial"/>
        </w:rPr>
      </w:pPr>
      <w:bookmarkStart w:id="5" w:name="_PAR__5_0b62b8f6_4e40_4d4a_ba09_71fd5efa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F51E24" w:rsidP="00F51E24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19b4f2f0_6664_4bc1_99e3_637a9db5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F51E24" w:rsidP="00F51E2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10384096_9f7e_4dba_8b9d_dd46ec42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F51E24" w:rsidP="00F51E2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4b4c97f1_5aca_482e_a6af_6cd5c963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F51E24" w:rsidP="00F51E2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6dc2f85c_ad52_470b_b6d0_6c8f31d5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F51E24" w:rsidP="00F51E24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6c6da0d4_e63a_41d8_aa99_1b10d01"/>
      <w:bookmarkEnd w:id="9"/>
      <w:r>
        <w:rPr>
          <w:rFonts w:ascii="Arial" w:eastAsia="Arial" w:hAnsi="Arial" w:cs="Arial"/>
          <w:szCs w:val="22"/>
        </w:rPr>
        <w:t>COMMITTEE AMENDMENT “      ” to S.P. 965, L.D. 2243, “Resolve, Directing the Department of Health and Human Services to Amend MaineCare Rules Governing Certain Types of Behavioral and Mental Health Services and to Form a Stakeholder Group to Study Methods for Improving Those Services”</w:t>
      </w:r>
    </w:p>
    <w:p w:rsidR="00F51E24" w:rsidP="00F51E24">
      <w:pPr>
        <w:ind w:left="360" w:firstLine="360"/>
        <w:rPr>
          <w:rFonts w:ascii="Arial" w:eastAsia="Arial" w:hAnsi="Arial" w:cs="Arial"/>
        </w:rPr>
      </w:pPr>
      <w:bookmarkStart w:id="11" w:name="_INSTRUCTION__c61762e7_0309_4c69_9fe6_93"/>
      <w:bookmarkStart w:id="12" w:name="_PAR__11_1915fa79_341a_4b94_88f8_7ecebba"/>
      <w:bookmarkEnd w:id="0"/>
      <w:bookmarkEnd w:id="10"/>
      <w:r>
        <w:rPr>
          <w:rFonts w:ascii="Arial" w:eastAsia="Arial" w:hAnsi="Arial" w:cs="Arial"/>
        </w:rPr>
        <w:t>Amend the resolve by striking out the title and substituting the following:</w:t>
      </w:r>
    </w:p>
    <w:p w:rsidR="00F51E24" w:rsidP="00F51E24">
      <w:pPr>
        <w:ind w:left="360"/>
        <w:rPr>
          <w:rFonts w:ascii="Arial" w:eastAsia="Arial" w:hAnsi="Arial" w:cs="Arial"/>
        </w:rPr>
      </w:pPr>
      <w:bookmarkStart w:id="13" w:name="_PAR__12_cdd86969_82a0_4d9f_bc2b_0de726c"/>
      <w:bookmarkEnd w:id="12"/>
      <w:r>
        <w:rPr>
          <w:rFonts w:ascii="Arial" w:eastAsia="Arial" w:hAnsi="Arial" w:cs="Arial"/>
          <w:b/>
        </w:rPr>
        <w:t>'Resolve, to Expedite and Improve Reimbursement to Certain Private Nonmedical Institutions'</w:t>
      </w:r>
    </w:p>
    <w:p w:rsidR="00F51E24" w:rsidP="00F51E24">
      <w:pPr>
        <w:ind w:left="360" w:firstLine="360"/>
        <w:rPr>
          <w:rFonts w:ascii="Arial" w:eastAsia="Arial" w:hAnsi="Arial" w:cs="Arial"/>
        </w:rPr>
      </w:pPr>
      <w:bookmarkStart w:id="14" w:name="_INSTRUCTION__579f2e31_e25c_4446_a0cd_b7"/>
      <w:bookmarkStart w:id="15" w:name="_PAR__13_f20fc704_4d95_4672_a50d_be219ca"/>
      <w:bookmarkEnd w:id="11"/>
      <w:bookmarkEnd w:id="13"/>
      <w:r>
        <w:rPr>
          <w:rFonts w:ascii="Arial" w:eastAsia="Arial" w:hAnsi="Arial" w:cs="Arial"/>
        </w:rPr>
        <w:t>Amend the resolve by striking out everything after the title and inserting the following:</w:t>
      </w:r>
    </w:p>
    <w:p w:rsidR="00F51E24" w:rsidP="00F51E24">
      <w:pPr>
        <w:ind w:left="360" w:firstLine="360"/>
        <w:rPr>
          <w:rFonts w:ascii="Arial" w:eastAsia="Arial" w:hAnsi="Arial" w:cs="Arial"/>
        </w:rPr>
      </w:pPr>
      <w:bookmarkStart w:id="16" w:name="_PAR__14_5c9e071d_d79d_41e1_96c6_261ff7b"/>
      <w:bookmarkEnd w:id="15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</w:t>
      </w:r>
      <w:r>
        <w:rPr>
          <w:rFonts w:ascii="Arial" w:eastAsia="Arial" w:hAnsi="Arial" w:cs="Arial"/>
        </w:rPr>
        <w:t xml:space="preserve">  </w:t>
      </w:r>
      <w:r w:rsidRPr="00B529D3">
        <w:rPr>
          <w:rFonts w:ascii="Arial" w:eastAsia="Arial" w:hAnsi="Arial" w:cs="Arial"/>
          <w:b/>
          <w:sz w:val="24"/>
          <w:szCs w:val="24"/>
        </w:rPr>
        <w:t>Department of Health and Human Services to amend rules concerning MaineCare reimbursement for certain private nonmedical institutions; timing.  Resolved:</w:t>
      </w:r>
      <w:r w:rsidRPr="00B529D3">
        <w:rPr>
          <w:rFonts w:ascii="Arial" w:eastAsia="Arial" w:hAnsi="Arial" w:cs="Arial"/>
        </w:rPr>
        <w:t xml:space="preserve">  That the Department of Health and Human Services shall amend its rules in Chapter 101:  MaineCare Benefits Manual, Chapter III, Section 97, Appendices E and F and amend, as necessary, any language within Chapter II, Section 97 and Chapter III, Section 97 that applies to those appendices to require the department to reimburse at least 75% of a private nonmedical institution's as-filed settlement pursuant to the facility's cost reports within 90 days of receipt by the department of the cost reports.</w:t>
      </w:r>
    </w:p>
    <w:p w:rsidR="00F51E24" w:rsidP="00F51E24">
      <w:pPr>
        <w:ind w:left="360" w:firstLine="360"/>
        <w:rPr>
          <w:rFonts w:ascii="Arial" w:eastAsia="Arial" w:hAnsi="Arial" w:cs="Arial"/>
        </w:rPr>
      </w:pPr>
      <w:bookmarkStart w:id="17" w:name="_PAR__15_7da0b974_34a5_461b_acda_a3336c0"/>
      <w:bookmarkEnd w:id="16"/>
      <w:r>
        <w:rPr>
          <w:rFonts w:ascii="Arial" w:eastAsia="Arial" w:hAnsi="Arial" w:cs="Arial"/>
          <w:b/>
          <w:sz w:val="24"/>
        </w:rPr>
        <w:t>Sec. 2.</w:t>
      </w:r>
      <w:r>
        <w:rPr>
          <w:rFonts w:ascii="Arial" w:eastAsia="Arial" w:hAnsi="Arial" w:cs="Arial"/>
        </w:rPr>
        <w:t xml:space="preserve">  </w:t>
      </w:r>
      <w:r w:rsidRPr="00B529D3">
        <w:rPr>
          <w:rFonts w:ascii="Arial" w:eastAsia="Arial" w:hAnsi="Arial" w:cs="Arial"/>
          <w:b/>
          <w:sz w:val="24"/>
          <w:szCs w:val="24"/>
        </w:rPr>
        <w:t>Department of Health and Human Services to increase awareness of rate adjustment opportunities.  Resolved:</w:t>
      </w:r>
      <w:r w:rsidRPr="00B529D3">
        <w:rPr>
          <w:rFonts w:ascii="Arial" w:eastAsia="Arial" w:hAnsi="Arial" w:cs="Arial"/>
        </w:rPr>
        <w:t xml:space="preserve">  That the Department of Health and Human Services </w:t>
      </w:r>
      <w:r>
        <w:rPr>
          <w:rFonts w:ascii="Arial" w:eastAsia="Arial" w:hAnsi="Arial" w:cs="Arial"/>
        </w:rPr>
        <w:t xml:space="preserve">shall </w:t>
      </w:r>
      <w:r w:rsidRPr="00B529D3">
        <w:rPr>
          <w:rFonts w:ascii="Arial" w:eastAsia="Arial" w:hAnsi="Arial" w:cs="Arial"/>
        </w:rPr>
        <w:t xml:space="preserve">increase awareness of the rate adjustment application process for eligible private nonmedical institutions that receive reimbursement under </w:t>
      </w:r>
      <w:r>
        <w:rPr>
          <w:rFonts w:ascii="Arial" w:eastAsia="Arial" w:hAnsi="Arial" w:cs="Arial"/>
        </w:rPr>
        <w:t xml:space="preserve">the department's rule </w:t>
      </w:r>
      <w:r w:rsidRPr="00B529D3">
        <w:rPr>
          <w:rFonts w:ascii="Arial" w:eastAsia="Arial" w:hAnsi="Arial" w:cs="Arial"/>
        </w:rPr>
        <w:t>Chapter 101: MaineCare Benefits Manual, Chapter II</w:t>
      </w:r>
      <w:r>
        <w:rPr>
          <w:rFonts w:ascii="Arial" w:eastAsia="Arial" w:hAnsi="Arial" w:cs="Arial"/>
        </w:rPr>
        <w:t>, Section 97 and Chapter</w:t>
      </w:r>
      <w:r w:rsidRPr="00B529D3">
        <w:rPr>
          <w:rFonts w:ascii="Arial" w:eastAsia="Arial" w:hAnsi="Arial" w:cs="Arial"/>
        </w:rPr>
        <w:t xml:space="preserve"> III, Section 97, Appendi</w:t>
      </w:r>
      <w:r>
        <w:rPr>
          <w:rFonts w:ascii="Arial" w:eastAsia="Arial" w:hAnsi="Arial" w:cs="Arial"/>
        </w:rPr>
        <w:t>ces</w:t>
      </w:r>
      <w:r w:rsidRPr="00B529D3">
        <w:rPr>
          <w:rFonts w:ascii="Arial" w:eastAsia="Arial" w:hAnsi="Arial" w:cs="Arial"/>
        </w:rPr>
        <w:t xml:space="preserve"> E</w:t>
      </w:r>
      <w:r>
        <w:rPr>
          <w:rFonts w:ascii="Arial" w:eastAsia="Arial" w:hAnsi="Arial" w:cs="Arial"/>
        </w:rPr>
        <w:t xml:space="preserve"> and F</w:t>
      </w:r>
      <w:r w:rsidRPr="00B529D3">
        <w:rPr>
          <w:rFonts w:ascii="Arial" w:eastAsia="Arial" w:hAnsi="Arial" w:cs="Arial"/>
        </w:rPr>
        <w:t>.</w:t>
      </w:r>
    </w:p>
    <w:p w:rsidR="00F51E24" w:rsidP="00F51E24">
      <w:pPr>
        <w:ind w:left="360" w:firstLine="360"/>
        <w:rPr>
          <w:rFonts w:ascii="Arial" w:eastAsia="Arial" w:hAnsi="Arial" w:cs="Arial"/>
        </w:rPr>
      </w:pPr>
      <w:bookmarkStart w:id="18" w:name="_PAR__16_8490b681_4fc1_4065_a16d_ddc186e"/>
      <w:bookmarkEnd w:id="17"/>
      <w:r>
        <w:rPr>
          <w:rFonts w:ascii="Arial" w:eastAsia="Arial" w:hAnsi="Arial" w:cs="Arial"/>
          <w:b/>
          <w:sz w:val="24"/>
        </w:rPr>
        <w:t>Sec. 3.  Appropriations and allocations.  Resolved:</w:t>
      </w:r>
      <w:r>
        <w:rPr>
          <w:rFonts w:ascii="Arial" w:eastAsia="Arial" w:hAnsi="Arial" w:cs="Arial"/>
        </w:rPr>
        <w:t>  That the following appropriations and allocations are made.</w:t>
      </w:r>
    </w:p>
    <w:p w:rsidR="00F51E24" w:rsidP="00F51E24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9" w:name="_PAR__17_df36da60_e0c2_459b_8357_9b8d5f1"/>
      <w:bookmarkEnd w:id="18"/>
      <w:r>
        <w:rPr>
          <w:rFonts w:ascii="Arial" w:eastAsia="Arial" w:hAnsi="Arial" w:cs="Arial"/>
          <w:b/>
        </w:rPr>
        <w:t>HEALTH AND HUMAN SERVICES, DEPARTMENT OF</w:t>
      </w:r>
    </w:p>
    <w:p w:rsidR="00F51E24" w:rsidP="00F51E24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0" w:name="_PAR__18_de55ca5e_ae98_49fe_b96c_b3cb5b2"/>
      <w:bookmarkEnd w:id="19"/>
      <w:r>
        <w:rPr>
          <w:rFonts w:ascii="Arial" w:eastAsia="Arial" w:hAnsi="Arial" w:cs="Arial"/>
          <w:b/>
        </w:rPr>
        <w:t>Medical Care - Payments to Providers 0147</w:t>
      </w:r>
    </w:p>
    <w:p w:rsidR="00F51E24" w:rsidP="00F51E24">
      <w:pPr>
        <w:ind w:left="360"/>
        <w:rPr>
          <w:rFonts w:ascii="Arial" w:eastAsia="Arial" w:hAnsi="Arial" w:cs="Arial"/>
        </w:rPr>
      </w:pPr>
      <w:bookmarkStart w:id="21" w:name="_PAGE__2_5090c763_b0b3_45a5_a514_2e3de97"/>
      <w:bookmarkStart w:id="22" w:name="_PAR__2_3a093c07_af12_4738_99b6_a295024d"/>
      <w:bookmarkEnd w:id="1"/>
      <w:bookmarkEnd w:id="20"/>
      <w:r>
        <w:rPr>
          <w:rFonts w:ascii="Arial" w:eastAsia="Arial" w:hAnsi="Arial" w:cs="Arial"/>
        </w:rPr>
        <w:t>Initiative: Provides one-time funding to support rate adjustments to eligible private nonmedical institutions.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480E4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51E24" w:rsidP="00480E44">
            <w:pPr>
              <w:spacing w:before="0" w:after="0"/>
              <w:rPr>
                <w:rFonts w:ascii="Arial" w:eastAsia="Arial" w:hAnsi="Arial" w:cs="Arial"/>
              </w:rPr>
            </w:pPr>
            <w:bookmarkStart w:id="23" w:name="_PAR__3_52cf739f_b866_430e_808d_aea112f8"/>
            <w:bookmarkStart w:id="24" w:name="_LINE__3_09566595_c763_4e7c_964a_dc81f96"/>
            <w:bookmarkEnd w:id="22"/>
            <w:r>
              <w:rPr>
                <w:rFonts w:ascii="Arial" w:eastAsia="Arial" w:hAnsi="Arial" w:cs="Arial"/>
                <w:b/>
              </w:rPr>
              <w:t>GENERAL FUND</w:t>
            </w:r>
            <w:bookmarkEnd w:id="24"/>
          </w:p>
        </w:tc>
        <w:tc>
          <w:tcPr>
            <w:tcW w:w="1469" w:type="dxa"/>
          </w:tcPr>
          <w:p w:rsidR="00F51E24" w:rsidP="00480E4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3_45843a0a_66dd_435f_80c4_5e17e75"/>
            <w:r>
              <w:rPr>
                <w:rFonts w:ascii="Arial" w:eastAsia="Arial" w:hAnsi="Arial" w:cs="Arial"/>
                <w:b/>
              </w:rPr>
              <w:t>2023-24</w:t>
            </w:r>
            <w:bookmarkEnd w:id="25"/>
          </w:p>
        </w:tc>
        <w:tc>
          <w:tcPr>
            <w:tcW w:w="1469" w:type="dxa"/>
          </w:tcPr>
          <w:p w:rsidR="00F51E24" w:rsidP="00480E4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3_a472ce56_6865_4107_b71f_48ea387"/>
            <w:r>
              <w:rPr>
                <w:rFonts w:ascii="Arial" w:eastAsia="Arial" w:hAnsi="Arial" w:cs="Arial"/>
                <w:b/>
              </w:rPr>
              <w:t>2024-25</w:t>
            </w:r>
            <w:bookmarkEnd w:id="26"/>
          </w:p>
        </w:tc>
      </w:tr>
      <w:tr w:rsidTr="00480E4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51E24" w:rsidP="00480E44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7" w:name="_LINE__4_e2bb6880_ef91_4d1b_8a9f_dc52465"/>
            <w:r>
              <w:rPr>
                <w:rFonts w:ascii="Arial" w:eastAsia="Arial" w:hAnsi="Arial" w:cs="Arial"/>
              </w:rPr>
              <w:t>All Other</w:t>
            </w:r>
            <w:bookmarkEnd w:id="27"/>
          </w:p>
        </w:tc>
        <w:tc>
          <w:tcPr>
            <w:tcW w:w="1469" w:type="dxa"/>
          </w:tcPr>
          <w:p w:rsidR="00F51E24" w:rsidP="00480E4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4_3d39ded2_1654_4329_b785_b9f46e4"/>
            <w:r>
              <w:rPr>
                <w:rFonts w:ascii="Arial" w:eastAsia="Arial" w:hAnsi="Arial" w:cs="Arial"/>
              </w:rPr>
              <w:t>$0</w:t>
            </w:r>
            <w:bookmarkEnd w:id="28"/>
          </w:p>
        </w:tc>
        <w:tc>
          <w:tcPr>
            <w:tcW w:w="1469" w:type="dxa"/>
          </w:tcPr>
          <w:p w:rsidR="00F51E24" w:rsidP="00480E4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4_049185be_2a95_4298_a448_7557e59"/>
            <w:r>
              <w:rPr>
                <w:rFonts w:ascii="Arial" w:eastAsia="Arial" w:hAnsi="Arial" w:cs="Arial"/>
              </w:rPr>
              <w:t>$741,849</w:t>
            </w:r>
            <w:bookmarkEnd w:id="29"/>
          </w:p>
        </w:tc>
      </w:tr>
      <w:tr w:rsidTr="00480E4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51E24" w:rsidP="00480E44">
            <w:pPr>
              <w:spacing w:before="0" w:after="0"/>
              <w:rPr>
                <w:rFonts w:ascii="Arial" w:eastAsia="Arial" w:hAnsi="Arial" w:cs="Arial"/>
              </w:rPr>
            </w:pPr>
            <w:bookmarkStart w:id="30" w:name="_LINE__5_593de1ee_7a3c_4ea5_9d9e_ea1adf8"/>
            <w:r>
              <w:rPr>
                <w:rFonts w:ascii="Arial" w:eastAsia="Arial" w:hAnsi="Arial" w:cs="Arial"/>
              </w:rPr>
              <w:t xml:space="preserve"> </w:t>
            </w:r>
            <w:bookmarkEnd w:id="30"/>
          </w:p>
        </w:tc>
        <w:tc>
          <w:tcPr>
            <w:tcW w:w="1469" w:type="dxa"/>
          </w:tcPr>
          <w:p w:rsidR="00F51E24" w:rsidP="00480E4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1" w:name="_LINE__5_17c78fc6_e8ad_4ad8_891b_48738eb"/>
            <w:r>
              <w:rPr>
                <w:rFonts w:ascii="Arial" w:eastAsia="Arial" w:hAnsi="Arial" w:cs="Arial"/>
              </w:rPr>
              <w:t>__________</w:t>
            </w:r>
            <w:bookmarkEnd w:id="31"/>
          </w:p>
        </w:tc>
        <w:tc>
          <w:tcPr>
            <w:tcW w:w="1469" w:type="dxa"/>
          </w:tcPr>
          <w:p w:rsidR="00F51E24" w:rsidP="00480E4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2" w:name="_LINE__5_acf00a3d_fb65_4e3d_9939_b46345e"/>
            <w:r>
              <w:rPr>
                <w:rFonts w:ascii="Arial" w:eastAsia="Arial" w:hAnsi="Arial" w:cs="Arial"/>
              </w:rPr>
              <w:t>__________</w:t>
            </w:r>
            <w:bookmarkEnd w:id="32"/>
          </w:p>
        </w:tc>
      </w:tr>
      <w:tr w:rsidTr="00480E4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51E24" w:rsidP="00480E44">
            <w:pPr>
              <w:spacing w:before="0" w:after="0"/>
              <w:rPr>
                <w:rFonts w:ascii="Arial" w:eastAsia="Arial" w:hAnsi="Arial" w:cs="Arial"/>
              </w:rPr>
            </w:pPr>
            <w:bookmarkStart w:id="33" w:name="_LINE__6_76621fb5_9391_4fa0_a165_6a94dbf"/>
            <w:r>
              <w:rPr>
                <w:rFonts w:ascii="Arial" w:eastAsia="Arial" w:hAnsi="Arial" w:cs="Arial"/>
              </w:rPr>
              <w:t>GENERAL FUND TOTAL</w:t>
            </w:r>
            <w:bookmarkEnd w:id="33"/>
          </w:p>
        </w:tc>
        <w:tc>
          <w:tcPr>
            <w:tcW w:w="1469" w:type="dxa"/>
          </w:tcPr>
          <w:p w:rsidR="00F51E24" w:rsidP="00480E4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4" w:name="_LINE__6_47a7e119_a6a0_4c1e_b0e0_e233b32"/>
            <w:r>
              <w:rPr>
                <w:rFonts w:ascii="Arial" w:eastAsia="Arial" w:hAnsi="Arial" w:cs="Arial"/>
              </w:rPr>
              <w:t>$0</w:t>
            </w:r>
            <w:bookmarkEnd w:id="34"/>
          </w:p>
        </w:tc>
        <w:tc>
          <w:tcPr>
            <w:tcW w:w="1469" w:type="dxa"/>
          </w:tcPr>
          <w:p w:rsidR="00F51E24" w:rsidP="00480E4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5" w:name="_LINE__6_037eddeb_a2a7_4366_9d2d_7832a8d"/>
            <w:r>
              <w:rPr>
                <w:rFonts w:ascii="Arial" w:eastAsia="Arial" w:hAnsi="Arial" w:cs="Arial"/>
              </w:rPr>
              <w:t>$741,849</w:t>
            </w:r>
            <w:bookmarkEnd w:id="35"/>
          </w:p>
        </w:tc>
      </w:tr>
    </w:tbl>
    <w:p w:rsidR="00F51E24" w:rsidP="00F51E24">
      <w:pPr>
        <w:ind w:left="360"/>
        <w:rPr>
          <w:rFonts w:ascii="Arial" w:eastAsia="Arial" w:hAnsi="Arial" w:cs="Arial"/>
        </w:rPr>
      </w:pPr>
      <w:bookmarkStart w:id="36" w:name="_PAR__4_a5668f42_2bce_4eb2_8c29_51f089f1"/>
      <w:bookmarkEnd w:id="23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11"/>
        <w:gridCol w:w="1462"/>
        <w:gridCol w:w="1462"/>
      </w:tblGrid>
      <w:tr w:rsidTr="00480E4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51E24" w:rsidP="00480E44">
            <w:pPr>
              <w:spacing w:before="0" w:after="0"/>
              <w:rPr>
                <w:rFonts w:ascii="Arial" w:eastAsia="Arial" w:hAnsi="Arial" w:cs="Arial"/>
              </w:rPr>
            </w:pPr>
            <w:bookmarkStart w:id="37" w:name="_PAR__5_2a462463_ab46_43ff_93c3_371bab1c"/>
            <w:bookmarkStart w:id="38" w:name="_LINE__8_62fa03c4_bcc1_4548_bafc_b9debaf"/>
            <w:bookmarkEnd w:id="36"/>
            <w:r>
              <w:rPr>
                <w:rFonts w:ascii="Arial" w:eastAsia="Arial" w:hAnsi="Arial" w:cs="Arial"/>
                <w:b/>
              </w:rPr>
              <w:t>FEDERAL EXPENDITURES FUND</w:t>
            </w:r>
            <w:bookmarkEnd w:id="38"/>
          </w:p>
        </w:tc>
        <w:tc>
          <w:tcPr>
            <w:tcW w:w="1469" w:type="dxa"/>
          </w:tcPr>
          <w:p w:rsidR="00F51E24" w:rsidP="00480E4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9" w:name="_LINE__8_5fcd21ef_f6b9_412a_917e_0f72a17"/>
            <w:r>
              <w:rPr>
                <w:rFonts w:ascii="Arial" w:eastAsia="Arial" w:hAnsi="Arial" w:cs="Arial"/>
                <w:b/>
              </w:rPr>
              <w:t>2023-24</w:t>
            </w:r>
            <w:bookmarkEnd w:id="39"/>
          </w:p>
        </w:tc>
        <w:tc>
          <w:tcPr>
            <w:tcW w:w="1469" w:type="dxa"/>
          </w:tcPr>
          <w:p w:rsidR="00F51E24" w:rsidP="00480E4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0" w:name="_LINE__8_9dd07d27_26ef_4322_949c_a69039d"/>
            <w:r>
              <w:rPr>
                <w:rFonts w:ascii="Arial" w:eastAsia="Arial" w:hAnsi="Arial" w:cs="Arial"/>
                <w:b/>
              </w:rPr>
              <w:t>2024-25</w:t>
            </w:r>
            <w:bookmarkEnd w:id="40"/>
          </w:p>
        </w:tc>
      </w:tr>
      <w:tr w:rsidTr="00480E4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51E24" w:rsidP="00480E44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41" w:name="_LINE__9_807eb05b_1158_4f7c_a306_2e0a428"/>
            <w:r>
              <w:rPr>
                <w:rFonts w:ascii="Arial" w:eastAsia="Arial" w:hAnsi="Arial" w:cs="Arial"/>
              </w:rPr>
              <w:t>All Other</w:t>
            </w:r>
            <w:bookmarkEnd w:id="41"/>
          </w:p>
        </w:tc>
        <w:tc>
          <w:tcPr>
            <w:tcW w:w="1469" w:type="dxa"/>
          </w:tcPr>
          <w:p w:rsidR="00F51E24" w:rsidP="00480E4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2" w:name="_LINE__9_3aab15a2_52f6_448f_860c_4e3bff3"/>
            <w:r>
              <w:rPr>
                <w:rFonts w:ascii="Arial" w:eastAsia="Arial" w:hAnsi="Arial" w:cs="Arial"/>
              </w:rPr>
              <w:t>$0</w:t>
            </w:r>
            <w:bookmarkEnd w:id="42"/>
          </w:p>
        </w:tc>
        <w:tc>
          <w:tcPr>
            <w:tcW w:w="1469" w:type="dxa"/>
          </w:tcPr>
          <w:p w:rsidR="00F51E24" w:rsidP="00480E4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3" w:name="_LINE__9_ba289ab1_1dea_421f_8cb6_e67207e"/>
            <w:r>
              <w:rPr>
                <w:rFonts w:ascii="Arial" w:eastAsia="Arial" w:hAnsi="Arial" w:cs="Arial"/>
              </w:rPr>
              <w:t>$1,258,151</w:t>
            </w:r>
            <w:bookmarkEnd w:id="43"/>
          </w:p>
        </w:tc>
      </w:tr>
      <w:tr w:rsidTr="00480E4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51E24" w:rsidP="00480E44">
            <w:pPr>
              <w:spacing w:before="0" w:after="0"/>
              <w:rPr>
                <w:rFonts w:ascii="Arial" w:eastAsia="Arial" w:hAnsi="Arial" w:cs="Arial"/>
              </w:rPr>
            </w:pPr>
            <w:bookmarkStart w:id="44" w:name="_LINE__10_a8fa7e05_5fe3_42d8_b86e_e87a8f"/>
            <w:r>
              <w:rPr>
                <w:rFonts w:ascii="Arial" w:eastAsia="Arial" w:hAnsi="Arial" w:cs="Arial"/>
              </w:rPr>
              <w:t xml:space="preserve"> </w:t>
            </w:r>
            <w:bookmarkEnd w:id="44"/>
          </w:p>
        </w:tc>
        <w:tc>
          <w:tcPr>
            <w:tcW w:w="1469" w:type="dxa"/>
          </w:tcPr>
          <w:p w:rsidR="00F51E24" w:rsidP="00480E4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5" w:name="_LINE__10_18ca9cd2_0878_4211_8bcb_b57490"/>
            <w:r>
              <w:rPr>
                <w:rFonts w:ascii="Arial" w:eastAsia="Arial" w:hAnsi="Arial" w:cs="Arial"/>
              </w:rPr>
              <w:t>__________</w:t>
            </w:r>
            <w:bookmarkEnd w:id="45"/>
          </w:p>
        </w:tc>
        <w:tc>
          <w:tcPr>
            <w:tcW w:w="1469" w:type="dxa"/>
          </w:tcPr>
          <w:p w:rsidR="00F51E24" w:rsidP="00480E4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6" w:name="_LINE__10_e381b143_f852_4cb7_9642_7b6a08"/>
            <w:r>
              <w:rPr>
                <w:rFonts w:ascii="Arial" w:eastAsia="Arial" w:hAnsi="Arial" w:cs="Arial"/>
              </w:rPr>
              <w:t>__________</w:t>
            </w:r>
            <w:bookmarkEnd w:id="46"/>
          </w:p>
        </w:tc>
      </w:tr>
      <w:tr w:rsidTr="00480E44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51E24" w:rsidP="00480E44">
            <w:pPr>
              <w:spacing w:before="0" w:after="0"/>
              <w:rPr>
                <w:rFonts w:ascii="Arial" w:eastAsia="Arial" w:hAnsi="Arial" w:cs="Arial"/>
              </w:rPr>
            </w:pPr>
            <w:bookmarkStart w:id="47" w:name="_LINE__11_893864ca_6718_45e8_8887_6b800d"/>
            <w:r>
              <w:rPr>
                <w:rFonts w:ascii="Arial" w:eastAsia="Arial" w:hAnsi="Arial" w:cs="Arial"/>
              </w:rPr>
              <w:t>FEDERAL EXPENDITURES FUND TOTAL</w:t>
            </w:r>
            <w:bookmarkEnd w:id="47"/>
          </w:p>
        </w:tc>
        <w:tc>
          <w:tcPr>
            <w:tcW w:w="1469" w:type="dxa"/>
          </w:tcPr>
          <w:p w:rsidR="00F51E24" w:rsidP="00480E4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8" w:name="_LINE__11_aed66aa4_9bf1_4fe6_b175_38fbe2"/>
            <w:r>
              <w:rPr>
                <w:rFonts w:ascii="Arial" w:eastAsia="Arial" w:hAnsi="Arial" w:cs="Arial"/>
              </w:rPr>
              <w:t>$0</w:t>
            </w:r>
            <w:bookmarkEnd w:id="48"/>
          </w:p>
        </w:tc>
        <w:tc>
          <w:tcPr>
            <w:tcW w:w="1469" w:type="dxa"/>
          </w:tcPr>
          <w:p w:rsidR="00F51E24" w:rsidP="00480E44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9" w:name="_LINE__11_1a29b4a8_9fe8_4f5b_853c_30735b"/>
            <w:r>
              <w:rPr>
                <w:rFonts w:ascii="Arial" w:eastAsia="Arial" w:hAnsi="Arial" w:cs="Arial"/>
              </w:rPr>
              <w:t>$1,258,151</w:t>
            </w:r>
            <w:bookmarkEnd w:id="49"/>
          </w:p>
        </w:tc>
      </w:tr>
    </w:tbl>
    <w:p w:rsidR="00F51E24" w:rsidP="00F51E24">
      <w:pPr>
        <w:ind w:left="360"/>
        <w:rPr>
          <w:rFonts w:ascii="Arial" w:eastAsia="Arial" w:hAnsi="Arial" w:cs="Arial"/>
        </w:rPr>
      </w:pPr>
      <w:bookmarkStart w:id="50" w:name="_PAR__6_37100648_4541_457e_b005_dd437cc0"/>
      <w:bookmarkEnd w:id="37"/>
      <w:r>
        <w:rPr>
          <w:rFonts w:ascii="Arial" w:eastAsia="Arial" w:hAnsi="Arial" w:cs="Arial"/>
        </w:rPr>
        <w:t>'</w:t>
      </w:r>
    </w:p>
    <w:p w:rsidR="00F51E24" w:rsidP="00F51E24">
      <w:pPr>
        <w:ind w:left="360" w:firstLine="360"/>
        <w:rPr>
          <w:rFonts w:ascii="Arial" w:eastAsia="Arial" w:hAnsi="Arial" w:cs="Arial"/>
        </w:rPr>
      </w:pPr>
      <w:bookmarkStart w:id="51" w:name="_INSTRUCTION__dff87d23_ed73_4a30_8a66_07"/>
      <w:bookmarkStart w:id="52" w:name="_PAR__7_3e4442ea_a7ae_4705_be44_d26f2f07"/>
      <w:bookmarkEnd w:id="14"/>
      <w:bookmarkEnd w:id="50"/>
      <w:r>
        <w:rPr>
          <w:rFonts w:ascii="Arial" w:eastAsia="Arial" w:hAnsi="Arial" w:cs="Arial"/>
        </w:rPr>
        <w:t>Amend the resolve by relettering or renumbering any nonconsecutive Part letter or section number to read consecutively.</w:t>
      </w:r>
    </w:p>
    <w:p w:rsidR="00F51E24" w:rsidP="00F51E2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3" w:name="_SUMMARY__d8eece7c_5c40_4ec8_b335_498fc5"/>
      <w:bookmarkStart w:id="54" w:name="_PAR__8_2001f579_5abf_4d9a_8f06_3ee039c4"/>
      <w:bookmarkEnd w:id="51"/>
      <w:bookmarkEnd w:id="52"/>
      <w:r>
        <w:rPr>
          <w:rFonts w:ascii="Arial" w:eastAsia="Arial" w:hAnsi="Arial" w:cs="Arial"/>
          <w:b/>
          <w:sz w:val="24"/>
        </w:rPr>
        <w:t>SUMMARY</w:t>
      </w:r>
    </w:p>
    <w:p w:rsidR="00F51E24" w:rsidP="00F51E24">
      <w:pPr>
        <w:keepNext/>
        <w:ind w:left="360" w:firstLine="360"/>
        <w:rPr>
          <w:rFonts w:ascii="Arial" w:eastAsia="Arial" w:hAnsi="Arial" w:cs="Arial"/>
        </w:rPr>
      </w:pPr>
      <w:bookmarkStart w:id="55" w:name="_PAR__9_5bd0774e_026a_4f6c_bd1d_4e344efe"/>
      <w:bookmarkEnd w:id="54"/>
      <w:r w:rsidRPr="00B529D3">
        <w:rPr>
          <w:rFonts w:ascii="Arial" w:eastAsia="Arial" w:hAnsi="Arial" w:cs="Arial"/>
        </w:rPr>
        <w:t xml:space="preserve">This amendment </w:t>
      </w:r>
      <w:r>
        <w:rPr>
          <w:rFonts w:ascii="Arial" w:eastAsia="Arial" w:hAnsi="Arial" w:cs="Arial"/>
        </w:rPr>
        <w:t xml:space="preserve">changes the title of and </w:t>
      </w:r>
      <w:r w:rsidRPr="00B529D3">
        <w:rPr>
          <w:rFonts w:ascii="Arial" w:eastAsia="Arial" w:hAnsi="Arial" w:cs="Arial"/>
        </w:rPr>
        <w:t xml:space="preserve">removes from the resolve the </w:t>
      </w:r>
      <w:r>
        <w:rPr>
          <w:rFonts w:ascii="Arial" w:eastAsia="Arial" w:hAnsi="Arial" w:cs="Arial"/>
        </w:rPr>
        <w:t>provisions</w:t>
      </w:r>
      <w:r w:rsidRPr="00B529D3">
        <w:rPr>
          <w:rFonts w:ascii="Arial" w:eastAsia="Arial" w:hAnsi="Arial" w:cs="Arial"/>
        </w:rPr>
        <w:t xml:space="preserve"> that </w:t>
      </w:r>
      <w:r>
        <w:rPr>
          <w:rFonts w:ascii="Arial" w:eastAsia="Arial" w:hAnsi="Arial" w:cs="Arial"/>
        </w:rPr>
        <w:t>direct the Department of Health and Human Services to</w:t>
      </w:r>
      <w:r w:rsidRPr="00B529D3">
        <w:rPr>
          <w:rFonts w:ascii="Arial" w:eastAsia="Arial" w:hAnsi="Arial" w:cs="Arial"/>
        </w:rPr>
        <w:t xml:space="preserve"> amend reimbursement rates for private nonmedical institutions that receive reimbursement under the MaineCare Benefits Manual in </w:t>
      </w:r>
      <w:r>
        <w:rPr>
          <w:rFonts w:ascii="Arial" w:eastAsia="Arial" w:hAnsi="Arial" w:cs="Arial"/>
        </w:rPr>
        <w:t xml:space="preserve">Chapter III, </w:t>
      </w:r>
      <w:r w:rsidRPr="00B529D3">
        <w:rPr>
          <w:rFonts w:ascii="Arial" w:eastAsia="Arial" w:hAnsi="Arial" w:cs="Arial"/>
        </w:rPr>
        <w:t xml:space="preserve">Section 97, Appendices E and F and </w:t>
      </w:r>
      <w:r>
        <w:rPr>
          <w:rFonts w:ascii="Arial" w:eastAsia="Arial" w:hAnsi="Arial" w:cs="Arial"/>
        </w:rPr>
        <w:t xml:space="preserve">Chapters II and III, </w:t>
      </w:r>
      <w:r w:rsidRPr="00B529D3">
        <w:rPr>
          <w:rFonts w:ascii="Arial" w:eastAsia="Arial" w:hAnsi="Arial" w:cs="Arial"/>
        </w:rPr>
        <w:t xml:space="preserve">Section 65.  It also removes </w:t>
      </w:r>
      <w:r>
        <w:rPr>
          <w:rFonts w:ascii="Arial" w:eastAsia="Arial" w:hAnsi="Arial" w:cs="Arial"/>
        </w:rPr>
        <w:t>the portion of the resolve that establishes</w:t>
      </w:r>
      <w:r w:rsidRPr="00B529D3">
        <w:rPr>
          <w:rFonts w:ascii="Arial" w:eastAsia="Arial" w:hAnsi="Arial" w:cs="Arial"/>
        </w:rPr>
        <w:t xml:space="preserve"> a stakeholder group.  It retains the </w:t>
      </w:r>
      <w:r>
        <w:rPr>
          <w:rFonts w:ascii="Arial" w:eastAsia="Arial" w:hAnsi="Arial" w:cs="Arial"/>
        </w:rPr>
        <w:t>provision</w:t>
      </w:r>
      <w:r w:rsidRPr="00B529D3">
        <w:rPr>
          <w:rFonts w:ascii="Arial" w:eastAsia="Arial" w:hAnsi="Arial" w:cs="Arial"/>
        </w:rPr>
        <w:t xml:space="preserve"> that requires timely reimbursement to </w:t>
      </w:r>
      <w:r>
        <w:rPr>
          <w:rFonts w:ascii="Arial" w:eastAsia="Arial" w:hAnsi="Arial" w:cs="Arial"/>
        </w:rPr>
        <w:t>those</w:t>
      </w:r>
      <w:r w:rsidRPr="00B529D3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private </w:t>
      </w:r>
      <w:r w:rsidRPr="00B529D3">
        <w:rPr>
          <w:rFonts w:ascii="Arial" w:eastAsia="Arial" w:hAnsi="Arial" w:cs="Arial"/>
        </w:rPr>
        <w:t xml:space="preserve">nonmedical institutions by the </w:t>
      </w:r>
      <w:r>
        <w:rPr>
          <w:rFonts w:ascii="Arial" w:eastAsia="Arial" w:hAnsi="Arial" w:cs="Arial"/>
        </w:rPr>
        <w:t>d</w:t>
      </w:r>
      <w:r w:rsidRPr="00B529D3">
        <w:rPr>
          <w:rFonts w:ascii="Arial" w:eastAsia="Arial" w:hAnsi="Arial" w:cs="Arial"/>
        </w:rPr>
        <w:t xml:space="preserve">epartment.  The amendment requires the </w:t>
      </w:r>
      <w:r>
        <w:rPr>
          <w:rFonts w:ascii="Arial" w:eastAsia="Arial" w:hAnsi="Arial" w:cs="Arial"/>
        </w:rPr>
        <w:t>d</w:t>
      </w:r>
      <w:r w:rsidRPr="00B529D3">
        <w:rPr>
          <w:rFonts w:ascii="Arial" w:eastAsia="Arial" w:hAnsi="Arial" w:cs="Arial"/>
        </w:rPr>
        <w:t xml:space="preserve">epartment to increase awareness of the rate adjustment application process that exists for </w:t>
      </w:r>
      <w:r>
        <w:rPr>
          <w:rFonts w:ascii="Arial" w:eastAsia="Arial" w:hAnsi="Arial" w:cs="Arial"/>
        </w:rPr>
        <w:t xml:space="preserve">those </w:t>
      </w:r>
      <w:r w:rsidRPr="00B529D3">
        <w:rPr>
          <w:rFonts w:ascii="Arial" w:eastAsia="Arial" w:hAnsi="Arial" w:cs="Arial"/>
        </w:rPr>
        <w:t>private nonmedical institutions and provides $2</w:t>
      </w:r>
      <w:r>
        <w:rPr>
          <w:rFonts w:ascii="Arial" w:eastAsia="Arial" w:hAnsi="Arial" w:cs="Arial"/>
        </w:rPr>
        <w:t>,000,000</w:t>
      </w:r>
      <w:r w:rsidRPr="00B529D3">
        <w:rPr>
          <w:rFonts w:ascii="Arial" w:eastAsia="Arial" w:hAnsi="Arial" w:cs="Arial"/>
        </w:rPr>
        <w:t xml:space="preserve"> for increased rate adjus</w:t>
      </w:r>
      <w:r>
        <w:rPr>
          <w:rFonts w:ascii="Arial" w:eastAsia="Arial" w:hAnsi="Arial" w:cs="Arial"/>
        </w:rPr>
        <w:t>t</w:t>
      </w:r>
      <w:r w:rsidRPr="00B529D3">
        <w:rPr>
          <w:rFonts w:ascii="Arial" w:eastAsia="Arial" w:hAnsi="Arial" w:cs="Arial"/>
        </w:rPr>
        <w:t>ments.</w:t>
      </w:r>
    </w:p>
    <w:p w:rsidR="00F51E24" w:rsidP="00F51E24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56" w:name="_FISCAL_NOTE_REQUIRED__210194e7_dda3_4cd"/>
      <w:bookmarkStart w:id="57" w:name="_PAR__10_63c1af49_3a53_4b8a_a500_ea82af9"/>
      <w:bookmarkEnd w:id="55"/>
      <w:r>
        <w:rPr>
          <w:rFonts w:ascii="Arial" w:eastAsia="Arial" w:hAnsi="Arial" w:cs="Arial"/>
          <w:b/>
        </w:rPr>
        <w:t>FISCAL NOTE REQUIRED</w:t>
      </w:r>
    </w:p>
    <w:p w:rsidR="00000000" w:rsidRPr="00F51E24" w:rsidP="00F51E24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58" w:name="_PAR__11_efe9e341_6dd8_4f68_97d1_044f4f3"/>
      <w:bookmarkEnd w:id="57"/>
      <w:r>
        <w:rPr>
          <w:rFonts w:ascii="Arial" w:eastAsia="Arial" w:hAnsi="Arial" w:cs="Arial"/>
          <w:b/>
        </w:rPr>
        <w:t>(See attached)</w:t>
      </w:r>
      <w:bookmarkEnd w:id="21"/>
      <w:bookmarkEnd w:id="53"/>
      <w:bookmarkEnd w:id="56"/>
      <w:bookmarkEnd w:id="5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LR2981,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Expedite and Improve Reimbursement to Certain Private Nonmedical Institutions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2243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80E44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529D3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51E24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