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Laws Governing Licensing of Payroll Processors</w:t>
      </w:r>
    </w:p>
    <w:p w:rsidR="0010094D" w:rsidP="0010094D">
      <w:pPr>
        <w:spacing w:after="240"/>
        <w:ind w:left="360"/>
        <w:jc w:val="right"/>
        <w:rPr>
          <w:rFonts w:ascii="Arial" w:eastAsia="Arial" w:hAnsi="Arial" w:cs="Arial"/>
          <w:caps/>
        </w:rPr>
      </w:pPr>
      <w:bookmarkStart w:id="0" w:name="_AMEND_TITLE__64d6565d_c4ef_4585_b896_f7"/>
      <w:bookmarkStart w:id="1" w:name="_PAGE__1_f735d8b8_06c6_420b_91a7_9ca00d0"/>
      <w:bookmarkStart w:id="2" w:name="_PAR__2_ecbabc69_3ff1_4b84_ad38_cf51c320"/>
      <w:r>
        <w:rPr>
          <w:rFonts w:ascii="Arial" w:eastAsia="Arial" w:hAnsi="Arial" w:cs="Arial"/>
          <w:caps/>
        </w:rPr>
        <w:t>L.D. 2110</w:t>
      </w:r>
    </w:p>
    <w:p w:rsidR="0010094D" w:rsidP="0010094D">
      <w:pPr>
        <w:tabs>
          <w:tab w:val="right" w:pos="8928"/>
        </w:tabs>
        <w:spacing w:after="360"/>
        <w:ind w:left="360"/>
        <w:rPr>
          <w:rFonts w:ascii="Arial" w:eastAsia="Arial" w:hAnsi="Arial" w:cs="Arial"/>
        </w:rPr>
      </w:pPr>
      <w:bookmarkStart w:id="3" w:name="_PAR__3_bf232524_8271_40db_aed8_7b843c7a"/>
      <w:bookmarkEnd w:id="2"/>
      <w:r>
        <w:rPr>
          <w:rFonts w:ascii="Arial" w:eastAsia="Arial" w:hAnsi="Arial" w:cs="Arial"/>
        </w:rPr>
        <w:t>Date:</w:t>
      </w:r>
      <w:r>
        <w:rPr>
          <w:rFonts w:ascii="Arial" w:eastAsia="Arial" w:hAnsi="Arial" w:cs="Arial"/>
        </w:rPr>
        <w:tab/>
        <w:t>(Filing No. S-         )</w:t>
      </w:r>
    </w:p>
    <w:p w:rsidR="0010094D" w:rsidP="0010094D">
      <w:pPr>
        <w:spacing w:before="600" w:after="300"/>
        <w:ind w:left="360"/>
        <w:jc w:val="center"/>
        <w:outlineLvl w:val="0"/>
        <w:rPr>
          <w:rFonts w:ascii="Arial" w:eastAsia="Arial" w:hAnsi="Arial" w:cs="Arial"/>
        </w:rPr>
      </w:pPr>
      <w:bookmarkStart w:id="4" w:name="_PAR__4_33b70614_1d98_4cbc_a72c_a891e145"/>
      <w:bookmarkEnd w:id="3"/>
      <w:r>
        <w:rPr>
          <w:rFonts w:ascii="Arial" w:eastAsia="Arial" w:hAnsi="Arial" w:cs="Arial"/>
          <w:b/>
          <w:caps/>
          <w:sz w:val="24"/>
          <w:szCs w:val="32"/>
        </w:rPr>
        <w:t xml:space="preserve">Health Coverage, Insurance and Financial Services </w:t>
      </w:r>
    </w:p>
    <w:p w:rsidR="0010094D" w:rsidP="0010094D">
      <w:pPr>
        <w:spacing w:before="60" w:after="60"/>
        <w:ind w:left="720"/>
        <w:rPr>
          <w:rFonts w:ascii="Arial" w:eastAsia="Arial" w:hAnsi="Arial" w:cs="Arial"/>
        </w:rPr>
      </w:pPr>
      <w:bookmarkStart w:id="5" w:name="_PAR__5_43fabbbf_c792_45a3_8d4a_b8996ee7"/>
      <w:bookmarkEnd w:id="4"/>
      <w:r>
        <w:rPr>
          <w:rFonts w:ascii="Arial" w:eastAsia="Arial" w:hAnsi="Arial" w:cs="Arial"/>
        </w:rPr>
        <w:t>Reproduced and distributed under the direction of the Secretary of the Senate.</w:t>
      </w:r>
    </w:p>
    <w:p w:rsidR="0010094D" w:rsidP="0010094D">
      <w:pPr>
        <w:spacing w:before="160" w:after="0"/>
        <w:ind w:left="360"/>
        <w:jc w:val="center"/>
        <w:outlineLvl w:val="0"/>
        <w:rPr>
          <w:rFonts w:ascii="Arial" w:eastAsia="Arial" w:hAnsi="Arial" w:cs="Arial"/>
          <w:b/>
          <w:caps/>
          <w:sz w:val="24"/>
          <w:szCs w:val="32"/>
        </w:rPr>
      </w:pPr>
      <w:bookmarkStart w:id="6" w:name="_PAR__6_7fc93f70_0401_49f7_ba66_6fb2e074"/>
      <w:bookmarkEnd w:id="5"/>
      <w:r>
        <w:rPr>
          <w:rFonts w:ascii="Arial" w:eastAsia="Arial" w:hAnsi="Arial" w:cs="Arial"/>
          <w:b/>
          <w:caps/>
          <w:sz w:val="24"/>
          <w:szCs w:val="32"/>
        </w:rPr>
        <w:t>STATE OF MAINE</w:t>
      </w:r>
    </w:p>
    <w:p w:rsidR="0010094D" w:rsidP="0010094D">
      <w:pPr>
        <w:spacing w:after="0"/>
        <w:ind w:left="360"/>
        <w:jc w:val="center"/>
        <w:outlineLvl w:val="0"/>
        <w:rPr>
          <w:rFonts w:ascii="Arial" w:eastAsia="Arial" w:hAnsi="Arial" w:cs="Arial"/>
          <w:b/>
          <w:caps/>
          <w:sz w:val="24"/>
          <w:szCs w:val="32"/>
        </w:rPr>
      </w:pPr>
      <w:bookmarkStart w:id="7" w:name="_PAR__7_34108672_ff23_457a_9655_0f2b693d"/>
      <w:bookmarkEnd w:id="6"/>
      <w:r>
        <w:rPr>
          <w:rFonts w:ascii="Arial" w:eastAsia="Arial" w:hAnsi="Arial" w:cs="Arial"/>
          <w:b/>
          <w:caps/>
          <w:sz w:val="24"/>
          <w:szCs w:val="32"/>
        </w:rPr>
        <w:t>SENATE</w:t>
      </w:r>
    </w:p>
    <w:p w:rsidR="0010094D" w:rsidP="0010094D">
      <w:pPr>
        <w:spacing w:after="0"/>
        <w:ind w:left="360"/>
        <w:jc w:val="center"/>
        <w:outlineLvl w:val="0"/>
        <w:rPr>
          <w:rFonts w:ascii="Arial" w:eastAsia="Arial" w:hAnsi="Arial" w:cs="Arial"/>
          <w:b/>
          <w:caps/>
          <w:sz w:val="24"/>
          <w:szCs w:val="32"/>
        </w:rPr>
      </w:pPr>
      <w:bookmarkStart w:id="8" w:name="_PAR__8_65eb783e_8059_414b_9d90_c3be2d13"/>
      <w:bookmarkEnd w:id="7"/>
      <w:r>
        <w:rPr>
          <w:rFonts w:ascii="Arial" w:eastAsia="Arial" w:hAnsi="Arial" w:cs="Arial"/>
          <w:b/>
          <w:caps/>
          <w:sz w:val="24"/>
          <w:szCs w:val="32"/>
        </w:rPr>
        <w:t>131st Legislature</w:t>
      </w:r>
    </w:p>
    <w:p w:rsidR="0010094D" w:rsidP="0010094D">
      <w:pPr>
        <w:spacing w:after="0"/>
        <w:ind w:left="360"/>
        <w:jc w:val="center"/>
        <w:outlineLvl w:val="0"/>
        <w:rPr>
          <w:rFonts w:ascii="Arial" w:eastAsia="Arial" w:hAnsi="Arial" w:cs="Arial"/>
          <w:b/>
          <w:caps/>
          <w:sz w:val="24"/>
          <w:szCs w:val="32"/>
        </w:rPr>
      </w:pPr>
      <w:bookmarkStart w:id="9" w:name="_PAR__9_8b6a4a13_6913_497e_9da0_0680f14c"/>
      <w:bookmarkEnd w:id="8"/>
      <w:r>
        <w:rPr>
          <w:rFonts w:ascii="Arial" w:eastAsia="Arial" w:hAnsi="Arial" w:cs="Arial"/>
          <w:b/>
          <w:caps/>
          <w:sz w:val="24"/>
          <w:szCs w:val="32"/>
        </w:rPr>
        <w:t>Second Regular Session</w:t>
      </w:r>
    </w:p>
    <w:p w:rsidR="0010094D" w:rsidP="0010094D">
      <w:pPr>
        <w:spacing w:before="400" w:after="200"/>
        <w:ind w:left="360" w:firstLine="360"/>
        <w:rPr>
          <w:rFonts w:ascii="Arial" w:eastAsia="Arial" w:hAnsi="Arial" w:cs="Arial"/>
        </w:rPr>
      </w:pPr>
      <w:bookmarkStart w:id="10" w:name="_PAR__10_9314d868_46d4_45d7_b4e5_eb42075"/>
      <w:bookmarkEnd w:id="9"/>
      <w:r>
        <w:rPr>
          <w:rFonts w:ascii="Arial" w:eastAsia="Arial" w:hAnsi="Arial" w:cs="Arial"/>
          <w:szCs w:val="22"/>
        </w:rPr>
        <w:t>COMMITTEE AMENDMENT “      ” to S.P. 903, L.D. 2110, “An Act to Amend the Laws Governing Licensing of Payroll Processors”</w:t>
      </w:r>
    </w:p>
    <w:p w:rsidR="0010094D" w:rsidP="0010094D">
      <w:pPr>
        <w:ind w:left="360" w:firstLine="360"/>
        <w:rPr>
          <w:rFonts w:ascii="Arial" w:eastAsia="Arial" w:hAnsi="Arial" w:cs="Arial"/>
        </w:rPr>
      </w:pPr>
      <w:bookmarkStart w:id="11" w:name="_INSTRUCTION__b04abae9_91e3_44eb_8075_f8"/>
      <w:bookmarkStart w:id="12" w:name="_PAR__11_6cca1349_b36b_4eba_9e7d_507b717"/>
      <w:bookmarkEnd w:id="0"/>
      <w:bookmarkEnd w:id="10"/>
      <w:r>
        <w:rPr>
          <w:rFonts w:ascii="Arial" w:eastAsia="Arial" w:hAnsi="Arial" w:cs="Arial"/>
        </w:rPr>
        <w:t>Amend the bill by striking out everything after the enacting clause and inserting the following:</w:t>
      </w:r>
    </w:p>
    <w:p w:rsidR="0010094D" w:rsidP="0010094D">
      <w:pPr>
        <w:ind w:left="360" w:firstLine="360"/>
        <w:rPr>
          <w:rFonts w:ascii="Arial" w:eastAsia="Arial" w:hAnsi="Arial" w:cs="Arial"/>
        </w:rPr>
      </w:pPr>
      <w:bookmarkStart w:id="13" w:name="_PAR__12_84a4f60d_3d84_4987_b1c1_295909f"/>
      <w:bookmarkEnd w:id="12"/>
      <w:r>
        <w:rPr>
          <w:rFonts w:ascii="Arial" w:eastAsia="Arial" w:hAnsi="Arial" w:cs="Arial"/>
        </w:rPr>
        <w:t>'</w:t>
      </w:r>
      <w:r>
        <w:rPr>
          <w:rFonts w:ascii="Arial" w:eastAsia="Arial" w:hAnsi="Arial" w:cs="Arial"/>
          <w:b/>
          <w:sz w:val="24"/>
        </w:rPr>
        <w:t>Sec. 1.  10 MRSA §1495-D, sub-§1-A,</w:t>
      </w:r>
      <w:r>
        <w:rPr>
          <w:rFonts w:ascii="Arial" w:eastAsia="Arial" w:hAnsi="Arial" w:cs="Arial"/>
        </w:rPr>
        <w:t xml:space="preserve"> as enacted by PL 2021, c. 245, Pt. D, §9, is amended to read:</w:t>
      </w:r>
    </w:p>
    <w:p w:rsidR="0010094D" w:rsidP="0010094D">
      <w:pPr>
        <w:ind w:left="360" w:firstLine="360"/>
        <w:rPr>
          <w:rFonts w:ascii="Arial" w:eastAsia="Arial" w:hAnsi="Arial" w:cs="Arial"/>
        </w:rPr>
      </w:pPr>
      <w:bookmarkStart w:id="14" w:name="_PAR__13_72da78df_76b2_459e_8fc0_de2eb5c"/>
      <w:bookmarkEnd w:id="13"/>
      <w:r>
        <w:rPr>
          <w:rFonts w:ascii="Arial" w:eastAsia="Arial" w:hAnsi="Arial" w:cs="Arial"/>
          <w:b/>
        </w:rPr>
        <w:t xml:space="preserve">1-A.  License requirements; fees. </w:t>
      </w:r>
      <w:r>
        <w:rPr>
          <w:rFonts w:ascii="Arial" w:eastAsia="Arial" w:hAnsi="Arial" w:cs="Arial"/>
        </w:rPr>
        <w:t xml:space="preserve"> </w:t>
      </w:r>
      <w:r>
        <w:rPr>
          <w:rFonts w:ascii="Arial" w:eastAsia="Arial" w:hAnsi="Arial" w:cs="Arial"/>
          <w:strike/>
        </w:rPr>
        <w:t>The administrator may require licensing under this section through the nationwide mortgage licensing system and registry as defined in Title 9‑A, section 13‑102, subsection 8. The administrator is authorized to participate in the nationwide mortgage licensing system and registry.</w:t>
      </w:r>
      <w:r>
        <w:rPr>
          <w:rFonts w:ascii="Arial" w:eastAsia="Arial" w:hAnsi="Arial" w:cs="Arial"/>
        </w:rPr>
        <w:t xml:space="preserve">  </w:t>
      </w:r>
      <w:r>
        <w:rPr>
          <w:rFonts w:ascii="Arial" w:eastAsia="Arial" w:hAnsi="Arial" w:cs="Arial"/>
          <w:u w:val="single"/>
        </w:rPr>
        <w:t>The administrator may establish, by rule, requirements for licensing, including but not limited to:</w:t>
      </w:r>
    </w:p>
    <w:p w:rsidR="0010094D" w:rsidP="0010094D">
      <w:pPr>
        <w:ind w:left="360"/>
        <w:rPr>
          <w:rFonts w:ascii="Arial" w:eastAsia="Arial" w:hAnsi="Arial" w:cs="Arial"/>
        </w:rPr>
      </w:pPr>
      <w:bookmarkStart w:id="15" w:name="_PAR__14_39a19e51_54da_42b8_adf0_dedc329"/>
      <w:bookmarkEnd w:id="14"/>
      <w:r>
        <w:rPr>
          <w:rFonts w:ascii="Arial" w:eastAsia="Arial" w:hAnsi="Arial" w:cs="Arial"/>
          <w:strike/>
        </w:rPr>
        <w:t>In all cases, whether licensing is through the nationwide mortgage licensing system and registry or otherwise, the administrator may establish, by rule, requirements for licensing, including but not limited to:</w:t>
      </w:r>
    </w:p>
    <w:p w:rsidR="0010094D" w:rsidP="0010094D">
      <w:pPr>
        <w:ind w:left="720"/>
        <w:rPr>
          <w:rFonts w:ascii="Arial" w:eastAsia="Arial" w:hAnsi="Arial" w:cs="Arial"/>
        </w:rPr>
      </w:pPr>
      <w:bookmarkStart w:id="16" w:name="_PAR__15_ee1da6fd_c0c7_417b_aa92_b03d9df"/>
      <w:bookmarkEnd w:id="15"/>
      <w:r>
        <w:rPr>
          <w:rFonts w:ascii="Arial" w:eastAsia="Arial" w:hAnsi="Arial" w:cs="Arial"/>
        </w:rPr>
        <w:t>A.  Background checks for:</w:t>
      </w:r>
    </w:p>
    <w:p w:rsidR="0010094D" w:rsidP="0010094D">
      <w:pPr>
        <w:ind w:left="1080"/>
        <w:rPr>
          <w:rFonts w:ascii="Arial" w:eastAsia="Arial" w:hAnsi="Arial" w:cs="Arial"/>
        </w:rPr>
      </w:pPr>
      <w:bookmarkStart w:id="17" w:name="_PAR__16_49045f97_ba46_4a97_aa1b_c03a4c4"/>
      <w:bookmarkEnd w:id="16"/>
      <w:r>
        <w:rPr>
          <w:rFonts w:ascii="Arial" w:eastAsia="Arial" w:hAnsi="Arial" w:cs="Arial"/>
        </w:rPr>
        <w:t>(1)  Criminal history through fingerprint or other databases;</w:t>
      </w:r>
    </w:p>
    <w:p w:rsidR="0010094D" w:rsidP="0010094D">
      <w:pPr>
        <w:ind w:left="1080"/>
        <w:rPr>
          <w:rFonts w:ascii="Arial" w:eastAsia="Arial" w:hAnsi="Arial" w:cs="Arial"/>
        </w:rPr>
      </w:pPr>
      <w:bookmarkStart w:id="18" w:name="_PAR__17_2a4b6a3c_cc3e_4e04_ac9e_1ce170b"/>
      <w:bookmarkEnd w:id="17"/>
      <w:r>
        <w:rPr>
          <w:rFonts w:ascii="Arial" w:eastAsia="Arial" w:hAnsi="Arial" w:cs="Arial"/>
        </w:rPr>
        <w:t xml:space="preserve">(2)  Civil or administrative records; </w:t>
      </w:r>
      <w:r>
        <w:rPr>
          <w:rFonts w:ascii="Arial" w:eastAsia="Arial" w:hAnsi="Arial" w:cs="Arial"/>
          <w:u w:val="single"/>
        </w:rPr>
        <w:t>or</w:t>
      </w:r>
    </w:p>
    <w:p w:rsidR="0010094D" w:rsidP="0010094D">
      <w:pPr>
        <w:ind w:left="1080"/>
        <w:rPr>
          <w:rFonts w:ascii="Arial" w:eastAsia="Arial" w:hAnsi="Arial" w:cs="Arial"/>
        </w:rPr>
      </w:pPr>
      <w:bookmarkStart w:id="19" w:name="_PAR__18_71a422cb_6cb6_44a9_9b44_fe76721"/>
      <w:bookmarkEnd w:id="18"/>
      <w:r>
        <w:rPr>
          <w:rFonts w:ascii="Arial" w:eastAsia="Arial" w:hAnsi="Arial" w:cs="Arial"/>
        </w:rPr>
        <w:t xml:space="preserve">(3)  Credit history; </w:t>
      </w:r>
      <w:r>
        <w:rPr>
          <w:rFonts w:ascii="Arial" w:eastAsia="Arial" w:hAnsi="Arial" w:cs="Arial"/>
          <w:strike/>
        </w:rPr>
        <w:t>or</w:t>
      </w:r>
    </w:p>
    <w:p w:rsidR="0010094D" w:rsidP="0010094D">
      <w:pPr>
        <w:ind w:left="1080"/>
        <w:rPr>
          <w:rFonts w:ascii="Arial" w:eastAsia="Arial" w:hAnsi="Arial" w:cs="Arial"/>
        </w:rPr>
      </w:pPr>
      <w:bookmarkStart w:id="20" w:name="_PAR__19_7440a8b9_7f32_4829_a5aa_e9872ea"/>
      <w:bookmarkEnd w:id="19"/>
      <w:r>
        <w:rPr>
          <w:rFonts w:ascii="Arial" w:eastAsia="Arial" w:hAnsi="Arial" w:cs="Arial"/>
          <w:strike/>
        </w:rPr>
        <w:t>(4)  Any other information determined necessary by the nationwide mortgage licensing system and registry;</w:t>
      </w:r>
    </w:p>
    <w:p w:rsidR="0010094D" w:rsidP="0010094D">
      <w:pPr>
        <w:ind w:left="720"/>
        <w:rPr>
          <w:rFonts w:ascii="Arial" w:eastAsia="Arial" w:hAnsi="Arial" w:cs="Arial"/>
        </w:rPr>
      </w:pPr>
      <w:bookmarkStart w:id="21" w:name="_PAR__20_98d32137_4187_4a01_9d1c_c430ff6"/>
      <w:bookmarkEnd w:id="20"/>
      <w:r>
        <w:rPr>
          <w:rFonts w:ascii="Arial" w:eastAsia="Arial" w:hAnsi="Arial" w:cs="Arial"/>
        </w:rPr>
        <w:t xml:space="preserve">B.  The payment of fees to apply for or renew licenses, except that the fee for an initial application may not exceed $1,200 and for a renewal may not exceed $1,200. </w:t>
      </w:r>
      <w:r>
        <w:rPr>
          <w:rFonts w:ascii="Arial" w:eastAsia="Arial" w:hAnsi="Arial" w:cs="Arial"/>
          <w:strike/>
        </w:rPr>
        <w:t xml:space="preserve">If licensing is through the nationwide mortgage licensing system and registry, an applicant must also pay a nationwide mortgage licensing system and registry processing fee in an amount to be determined by the administrators of the nationwide </w:t>
      </w:r>
      <w:bookmarkStart w:id="22" w:name="_PAGE_SPLIT__556950b0_4cc2_488b_9d04_7ff"/>
      <w:bookmarkStart w:id="23" w:name="_PAGE__2_cc299e29_57dc_4a4f_9e1d_b10381c"/>
      <w:bookmarkStart w:id="24" w:name="_PAR__2_0b0582d3_374e_4eb0_81f7_648a67f2"/>
      <w:bookmarkEnd w:id="1"/>
      <w:bookmarkEnd w:id="21"/>
      <w:r>
        <w:rPr>
          <w:rFonts w:ascii="Arial" w:eastAsia="Arial" w:hAnsi="Arial" w:cs="Arial"/>
          <w:strike/>
        </w:rPr>
        <w:t>m</w:t>
      </w:r>
      <w:bookmarkEnd w:id="22"/>
      <w:r>
        <w:rPr>
          <w:rFonts w:ascii="Arial" w:eastAsia="Arial" w:hAnsi="Arial" w:cs="Arial"/>
          <w:strike/>
        </w:rPr>
        <w:t>ortgage licensing system and registry.</w:t>
      </w:r>
      <w:r>
        <w:rPr>
          <w:rFonts w:ascii="Arial" w:eastAsia="Arial" w:hAnsi="Arial" w:cs="Arial"/>
        </w:rPr>
        <w:t xml:space="preserve"> Renewal applications received after the due date are subject to an additional fee of $100;</w:t>
      </w:r>
    </w:p>
    <w:p w:rsidR="0010094D" w:rsidP="0010094D">
      <w:pPr>
        <w:ind w:left="720"/>
        <w:rPr>
          <w:rFonts w:ascii="Arial" w:eastAsia="Arial" w:hAnsi="Arial" w:cs="Arial"/>
        </w:rPr>
      </w:pPr>
      <w:bookmarkStart w:id="25" w:name="_PAR__3_99f27ea2_f1dd_4c57_92d6_bf48483f"/>
      <w:bookmarkEnd w:id="24"/>
      <w:r>
        <w:rPr>
          <w:rFonts w:ascii="Arial" w:eastAsia="Arial" w:hAnsi="Arial" w:cs="Arial"/>
        </w:rPr>
        <w:t>C.  The setting or resetting as necessary of renewal or reporting dates; and</w:t>
      </w:r>
    </w:p>
    <w:p w:rsidR="0010094D" w:rsidP="0010094D">
      <w:pPr>
        <w:ind w:left="720"/>
        <w:rPr>
          <w:rFonts w:ascii="Arial" w:eastAsia="Arial" w:hAnsi="Arial" w:cs="Arial"/>
        </w:rPr>
      </w:pPr>
      <w:bookmarkStart w:id="26" w:name="_PAR__4_269ec88b_86eb_44b3_82df_21e44d39"/>
      <w:bookmarkEnd w:id="25"/>
      <w:r>
        <w:rPr>
          <w:rFonts w:ascii="Arial" w:eastAsia="Arial" w:hAnsi="Arial" w:cs="Arial"/>
        </w:rPr>
        <w:t>D.  Other requirements for application for, amendment of or revocation of a license or any other such activities as the administrator considers necessary</w:t>
      </w:r>
      <w:r>
        <w:rPr>
          <w:rFonts w:ascii="Arial" w:eastAsia="Arial" w:hAnsi="Arial" w:cs="Arial"/>
          <w:u w:val="single"/>
        </w:rPr>
        <w:t>, except that the administrator may not require licensing through the nationwide mortgage licensing system and registry as defined in Title 9-A, section 13-102, subsection 8</w:t>
      </w:r>
      <w:r>
        <w:rPr>
          <w:rFonts w:ascii="Arial" w:eastAsia="Arial" w:hAnsi="Arial" w:cs="Arial"/>
        </w:rPr>
        <w:t>.</w:t>
      </w:r>
    </w:p>
    <w:p w:rsidR="0010094D" w:rsidP="0010094D">
      <w:pPr>
        <w:ind w:left="360"/>
        <w:rPr>
          <w:rFonts w:ascii="Arial" w:eastAsia="Arial" w:hAnsi="Arial" w:cs="Arial"/>
        </w:rPr>
      </w:pPr>
      <w:bookmarkStart w:id="27" w:name="_PAR__5_120031f9_98d4_4953_a695_3550f4ac"/>
      <w:bookmarkEnd w:id="26"/>
      <w:r>
        <w:rPr>
          <w:rFonts w:ascii="Arial" w:eastAsia="Arial" w:hAnsi="Arial" w:cs="Arial"/>
        </w:rPr>
        <w:t>The aggregate of license fees and other fees and assessments provided for by this chapter is appropriated for the use of the administrator. Any balance of these funds does not lapse but must be carried forward to be expended for the same purpose in the following fiscal year.</w:t>
      </w:r>
    </w:p>
    <w:p w:rsidR="0010094D" w:rsidP="0010094D">
      <w:pPr>
        <w:ind w:left="360"/>
        <w:rPr>
          <w:rFonts w:ascii="Arial" w:eastAsia="Arial" w:hAnsi="Arial" w:cs="Arial"/>
        </w:rPr>
      </w:pPr>
      <w:bookmarkStart w:id="28" w:name="_PAR__6_cf7abc14_cc0c_4797_8f2f_6ee2fdd5"/>
      <w:bookmarkEnd w:id="27"/>
      <w:r>
        <w:rPr>
          <w:rFonts w:ascii="Arial" w:eastAsia="Arial" w:hAnsi="Arial" w:cs="Arial"/>
        </w:rPr>
        <w:t>Rules adopted pursuant to this subsection are routine technical rules as defined in Title 5, chapter 375, subchapter 2‑A.'</w:t>
      </w:r>
    </w:p>
    <w:p w:rsidR="0010094D" w:rsidP="0010094D">
      <w:pPr>
        <w:ind w:left="360" w:firstLine="360"/>
        <w:rPr>
          <w:rFonts w:ascii="Arial" w:eastAsia="Arial" w:hAnsi="Arial" w:cs="Arial"/>
        </w:rPr>
      </w:pPr>
      <w:bookmarkStart w:id="29" w:name="_INSTRUCTION__52a6bf94_3448_4069_b3bb_78"/>
      <w:bookmarkStart w:id="30" w:name="_PAR__7_9563833a_57af_4dd8_91f2_50b01634"/>
      <w:bookmarkEnd w:id="11"/>
      <w:bookmarkEnd w:id="28"/>
      <w:r>
        <w:rPr>
          <w:rFonts w:ascii="Arial" w:eastAsia="Arial" w:hAnsi="Arial" w:cs="Arial"/>
        </w:rPr>
        <w:t>Amend the bill by relettering or renumbering any nonconsecutive Part letter or section number to read consecutively.</w:t>
      </w:r>
    </w:p>
    <w:p w:rsidR="0010094D" w:rsidP="0010094D">
      <w:pPr>
        <w:keepNext/>
        <w:spacing w:before="240"/>
        <w:ind w:left="360"/>
        <w:jc w:val="center"/>
        <w:rPr>
          <w:rFonts w:ascii="Arial" w:eastAsia="Arial" w:hAnsi="Arial" w:cs="Arial"/>
        </w:rPr>
      </w:pPr>
      <w:bookmarkStart w:id="31" w:name="_SUMMARY__3f651e0a_8dff_41e9_9ce2_260d62"/>
      <w:bookmarkStart w:id="32" w:name="_PAR__8_8b72c04f_d7bc_43df_9fc4_0915938b"/>
      <w:bookmarkEnd w:id="29"/>
      <w:bookmarkEnd w:id="30"/>
      <w:r>
        <w:rPr>
          <w:rFonts w:ascii="Arial" w:eastAsia="Arial" w:hAnsi="Arial" w:cs="Arial"/>
          <w:b/>
          <w:sz w:val="24"/>
        </w:rPr>
        <w:t>SUMMARY</w:t>
      </w:r>
    </w:p>
    <w:p w:rsidR="00000000" w:rsidP="0010094D">
      <w:pPr>
        <w:ind w:left="360" w:firstLine="360"/>
        <w:rPr>
          <w:rFonts w:ascii="Arial" w:eastAsia="Arial" w:hAnsi="Arial" w:cs="Arial"/>
        </w:rPr>
      </w:pPr>
      <w:bookmarkStart w:id="33" w:name="_PAR__9_3f2e3f35_c1a9_426f_9b24_30e28031"/>
      <w:bookmarkEnd w:id="32"/>
      <w:r w:rsidRPr="00F73F43">
        <w:rPr>
          <w:rFonts w:ascii="Arial" w:eastAsia="Arial" w:hAnsi="Arial" w:cs="Arial"/>
        </w:rPr>
        <w:t xml:space="preserve">This amendment, which is the minority report of the committee, </w:t>
      </w:r>
      <w:r>
        <w:rPr>
          <w:rFonts w:ascii="Arial" w:eastAsia="Arial" w:hAnsi="Arial" w:cs="Arial"/>
        </w:rPr>
        <w:t>replaces the bill to retain</w:t>
      </w:r>
      <w:r w:rsidRPr="00F73F43">
        <w:rPr>
          <w:rFonts w:ascii="Arial" w:eastAsia="Arial" w:hAnsi="Arial" w:cs="Arial"/>
        </w:rPr>
        <w:t xml:space="preserve"> the provisions in current law that </w:t>
      </w:r>
      <w:r>
        <w:rPr>
          <w:rFonts w:ascii="Arial" w:eastAsia="Arial" w:hAnsi="Arial" w:cs="Arial"/>
        </w:rPr>
        <w:t xml:space="preserve">specifically </w:t>
      </w:r>
      <w:r w:rsidRPr="00F73F43">
        <w:rPr>
          <w:rFonts w:ascii="Arial" w:eastAsia="Arial" w:hAnsi="Arial" w:cs="Arial"/>
        </w:rPr>
        <w:t xml:space="preserve">authorize </w:t>
      </w:r>
      <w:r>
        <w:rPr>
          <w:rFonts w:ascii="Arial" w:eastAsia="Arial" w:hAnsi="Arial" w:cs="Arial"/>
        </w:rPr>
        <w:t xml:space="preserve">the </w:t>
      </w:r>
      <w:r w:rsidRPr="00F73F43">
        <w:rPr>
          <w:rFonts w:ascii="Arial" w:eastAsia="Arial" w:hAnsi="Arial" w:cs="Arial"/>
        </w:rPr>
        <w:t>establish</w:t>
      </w:r>
      <w:r>
        <w:rPr>
          <w:rFonts w:ascii="Arial" w:eastAsia="Arial" w:hAnsi="Arial" w:cs="Arial"/>
        </w:rPr>
        <w:t>ment of</w:t>
      </w:r>
      <w:r w:rsidRPr="00F73F43">
        <w:rPr>
          <w:rFonts w:ascii="Arial" w:eastAsia="Arial" w:hAnsi="Arial" w:cs="Arial"/>
        </w:rPr>
        <w:t xml:space="preserve"> licensing requirements </w:t>
      </w:r>
      <w:r>
        <w:rPr>
          <w:rFonts w:ascii="Arial" w:eastAsia="Arial" w:hAnsi="Arial" w:cs="Arial"/>
        </w:rPr>
        <w:t xml:space="preserve">by rule </w:t>
      </w:r>
      <w:r w:rsidRPr="00F73F43">
        <w:rPr>
          <w:rFonts w:ascii="Arial" w:eastAsia="Arial" w:hAnsi="Arial" w:cs="Arial"/>
        </w:rPr>
        <w:t>for payroll processors that include background checks for criminal history, civil and administrative records or credit history.</w:t>
      </w:r>
      <w:bookmarkEnd w:id="23"/>
      <w:bookmarkEnd w:id="31"/>
      <w:bookmarkEnd w:id="3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LR2850,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Amend the Laws Governing Licensing of Payroll Processors</w:t>
    </w:r>
  </w:p>
  <w:p>
    <w:pPr>
      <w:suppressLineNumbers/>
      <w:spacing w:before="0" w:after="0"/>
      <w:jc w:val="center"/>
      <w:rPr>
        <w:rFonts w:ascii="Arial" w:eastAsia="Arial" w:hAnsi="Arial" w:cs="Arial"/>
      </w:rPr>
    </w:pPr>
    <w:r>
      <w:rPr>
        <w:rFonts w:ascii="Arial" w:eastAsia="Arial" w:hAnsi="Arial" w:cs="Arial"/>
        <w:sz w:val="22"/>
      </w:rPr>
      <w:t>L.D. 2110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0094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73F43"/>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