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Prohibit the Appointment or Assignment of a Private Attorney to Provide Indigent Legal Services Without That Attorney's Consent</w:t>
      </w:r>
    </w:p>
    <w:p w:rsidR="00B06E4C" w:rsidP="00B06E4C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073111b2_e22a_42e0_a7cb_36"/>
      <w:bookmarkStart w:id="1" w:name="_PAGE__1_2e99e2e3_f51c_426f_93d6_a11d8ea"/>
      <w:bookmarkStart w:id="2" w:name="_PAR__2_c6ffdc17_5da3_43da_b575_73ac369d"/>
      <w:r>
        <w:rPr>
          <w:rFonts w:ascii="Arial" w:eastAsia="Arial" w:hAnsi="Arial" w:cs="Arial"/>
          <w:caps/>
        </w:rPr>
        <w:t>L.D. 2195</w:t>
      </w:r>
    </w:p>
    <w:p w:rsidR="00B06E4C" w:rsidP="00B06E4C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8596c45d_d91d_49e3_9d91_bd91fbbe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B06E4C" w:rsidP="00B06E4C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e51f3c6a_24e2_4812_9803_5b540496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Judiciary </w:t>
      </w:r>
    </w:p>
    <w:p w:rsidR="00B06E4C" w:rsidP="00B06E4C">
      <w:pPr>
        <w:spacing w:before="60" w:after="60"/>
        <w:ind w:left="720"/>
        <w:rPr>
          <w:rFonts w:ascii="Arial" w:eastAsia="Arial" w:hAnsi="Arial" w:cs="Arial"/>
        </w:rPr>
      </w:pPr>
      <w:bookmarkStart w:id="5" w:name="_PAR__5_e55a8d90_9992_49d4_9e67_0e2c4dfa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B06E4C" w:rsidP="00B06E4C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071b15e3_d525_4759_a22a_bfde61b4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B06E4C" w:rsidP="00B06E4C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bb0dc17b_8c94_404f_b260_3ecbe079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B06E4C" w:rsidP="00B06E4C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50490cea_163a_4664_805f_11044220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B06E4C" w:rsidP="00B06E4C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ac103c95_ff78_4060_bacc_c1647586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B06E4C" w:rsidP="00B06E4C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66de4956_2181_4547_a983_169b103"/>
      <w:bookmarkEnd w:id="9"/>
      <w:r>
        <w:rPr>
          <w:rFonts w:ascii="Arial" w:eastAsia="Arial" w:hAnsi="Arial" w:cs="Arial"/>
          <w:szCs w:val="22"/>
        </w:rPr>
        <w:t>COMMITTEE AMENDMENT “      ” to S.P. 896, L.D. 2195, “An Act to Prohibit the Appointment or Assignment of a Private Attorney to Provide Indigent Legal Services Without That Attorney's Consent ”</w:t>
      </w:r>
    </w:p>
    <w:p w:rsidR="00B06E4C" w:rsidP="00B06E4C">
      <w:pPr>
        <w:ind w:left="360" w:firstLine="360"/>
        <w:rPr>
          <w:rFonts w:ascii="Arial" w:eastAsia="Arial" w:hAnsi="Arial" w:cs="Arial"/>
        </w:rPr>
      </w:pPr>
      <w:bookmarkStart w:id="11" w:name="_INSTRUCTION__81ed7fc7_1b28_49dc_a8ca_34"/>
      <w:bookmarkStart w:id="12" w:name="_PAR__11_9a460af2_5596_4d4b_be71_55c804f"/>
      <w:bookmarkEnd w:id="0"/>
      <w:bookmarkEnd w:id="10"/>
      <w:r>
        <w:rPr>
          <w:rFonts w:ascii="Arial" w:eastAsia="Arial" w:hAnsi="Arial" w:cs="Arial"/>
        </w:rPr>
        <w:t>Amend the bill by striking out the title and substituting the following:</w:t>
      </w:r>
    </w:p>
    <w:p w:rsidR="00B06E4C" w:rsidP="00B06E4C">
      <w:pPr>
        <w:ind w:left="360"/>
        <w:rPr>
          <w:rFonts w:ascii="Arial" w:eastAsia="Arial" w:hAnsi="Arial" w:cs="Arial"/>
        </w:rPr>
      </w:pPr>
      <w:bookmarkStart w:id="13" w:name="_PAR__12_032c725c_552b_43df_b080_47f94bf"/>
      <w:bookmarkEnd w:id="12"/>
      <w:r>
        <w:rPr>
          <w:rFonts w:ascii="Arial" w:eastAsia="Arial" w:hAnsi="Arial" w:cs="Arial"/>
          <w:b/>
        </w:rPr>
        <w:t>'An Act to Prohibit the Appointment or Assignment of an Attorney to Provide Indigent Legal Services Without That Attorney's Consent'</w:t>
      </w:r>
    </w:p>
    <w:p w:rsidR="00B06E4C" w:rsidP="00B06E4C">
      <w:pPr>
        <w:ind w:left="360" w:firstLine="360"/>
        <w:rPr>
          <w:rFonts w:ascii="Arial" w:eastAsia="Arial" w:hAnsi="Arial" w:cs="Arial"/>
        </w:rPr>
      </w:pPr>
      <w:bookmarkStart w:id="14" w:name="_INSTRUCTION__14bf63e6_c055_49c5_b6ce_2b"/>
      <w:bookmarkStart w:id="15" w:name="_PAR__13_1f500807_e3b7_4448_8fa5_ca9031b"/>
      <w:bookmarkEnd w:id="11"/>
      <w:bookmarkEnd w:id="13"/>
      <w:r>
        <w:rPr>
          <w:rFonts w:ascii="Arial" w:eastAsia="Arial" w:hAnsi="Arial" w:cs="Arial"/>
        </w:rPr>
        <w:t>Amend the bill by striking out everything after the enacting clause and inserting the following:</w:t>
      </w:r>
    </w:p>
    <w:p w:rsidR="00B06E4C" w:rsidP="00B06E4C">
      <w:pPr>
        <w:ind w:left="360" w:firstLine="360"/>
        <w:rPr>
          <w:rFonts w:ascii="Arial" w:eastAsia="Arial" w:hAnsi="Arial" w:cs="Arial"/>
        </w:rPr>
      </w:pPr>
      <w:bookmarkStart w:id="16" w:name="_PAR__14_f2a1c31a_f1ad_4e29_88cb_e7567d3"/>
      <w:bookmarkEnd w:id="15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4 MRSA §1802-A,</w:t>
      </w:r>
      <w:r>
        <w:rPr>
          <w:rFonts w:ascii="Arial" w:eastAsia="Arial" w:hAnsi="Arial" w:cs="Arial"/>
        </w:rPr>
        <w:t xml:space="preserve"> as repealed and replaced by PL 2025, c. 511, §2, is amended by amending the section headnote to read:</w:t>
      </w:r>
    </w:p>
    <w:p w:rsidR="00B06E4C" w:rsidP="00B06E4C">
      <w:pPr>
        <w:ind w:left="1080" w:hanging="720"/>
        <w:rPr>
          <w:rFonts w:ascii="Arial" w:eastAsia="Arial" w:hAnsi="Arial" w:cs="Arial"/>
        </w:rPr>
      </w:pPr>
      <w:bookmarkStart w:id="17" w:name="_PAR__15_83f203fe_074a_4b72_a2f1_5dbf67d"/>
      <w:bookmarkEnd w:id="16"/>
      <w:r>
        <w:rPr>
          <w:rFonts w:ascii="Arial" w:eastAsia="Arial" w:hAnsi="Arial" w:cs="Arial"/>
          <w:b/>
        </w:rPr>
        <w:t xml:space="preserve">§1802-A.  Employed counsel and public defender; </w:t>
      </w:r>
      <w:r>
        <w:rPr>
          <w:rFonts w:ascii="Arial" w:eastAsia="Arial" w:hAnsi="Arial" w:cs="Arial"/>
          <w:b/>
          <w:strike/>
        </w:rPr>
        <w:t>direct assignment prohibited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court appointment and assignment of counsel</w:t>
      </w:r>
    </w:p>
    <w:p w:rsidR="00B06E4C" w:rsidP="00B06E4C">
      <w:pPr>
        <w:ind w:left="360" w:firstLine="360"/>
        <w:rPr>
          <w:rFonts w:ascii="Arial" w:eastAsia="Arial" w:hAnsi="Arial" w:cs="Arial"/>
        </w:rPr>
      </w:pPr>
      <w:bookmarkStart w:id="18" w:name="_PAR__16_298ee7db_2b23_47f2_b05e_a5d39b9"/>
      <w:bookmarkEnd w:id="17"/>
      <w:r>
        <w:rPr>
          <w:rFonts w:ascii="Arial" w:eastAsia="Arial" w:hAnsi="Arial" w:cs="Arial"/>
          <w:b/>
          <w:sz w:val="24"/>
        </w:rPr>
        <w:t>Sec. 2.  4 MRSA §1802-A, sub-§3</w:t>
      </w:r>
      <w:r>
        <w:rPr>
          <w:rFonts w:ascii="Arial" w:eastAsia="Arial" w:hAnsi="Arial" w:cs="Arial"/>
        </w:rPr>
        <w:t xml:space="preserve"> is enacted to read:</w:t>
      </w:r>
    </w:p>
    <w:p w:rsidR="00B06E4C" w:rsidP="00B06E4C">
      <w:pPr>
        <w:ind w:left="360" w:firstLine="360"/>
        <w:rPr>
          <w:rFonts w:ascii="Arial" w:eastAsia="Arial" w:hAnsi="Arial" w:cs="Arial"/>
        </w:rPr>
      </w:pPr>
      <w:bookmarkStart w:id="19" w:name="_PAR__17_af7df259_f23e_4e87_90e8_325dce6"/>
      <w:bookmarkEnd w:id="18"/>
      <w:r>
        <w:rPr>
          <w:rFonts w:ascii="Arial" w:eastAsia="Arial" w:hAnsi="Arial" w:cs="Arial"/>
          <w:b/>
          <w:u w:val="single"/>
        </w:rPr>
        <w:t xml:space="preserve">3.  Compensation of attorneys appointed or assigned by court to provide indigent legal services. </w:t>
      </w:r>
      <w:r>
        <w:rPr>
          <w:rFonts w:ascii="Arial" w:eastAsia="Arial" w:hAnsi="Arial" w:cs="Arial"/>
          <w:u w:val="single"/>
        </w:rPr>
        <w:t xml:space="preserve"> The commission is not required to reimburse the expenses of or to compensate an attorney appointed or assigned by a court to provide indigent legal services unless the attorney is an assigned counsel; the commission has determined that the attorney is eligible for appointment or assignment in the type of court proceeding to which the attorney has been appointed or assigned; and the attorney consents in advance to the appointment or assignment.</w:t>
      </w:r>
      <w:r>
        <w:rPr>
          <w:rFonts w:ascii="Arial" w:eastAsia="Arial" w:hAnsi="Arial" w:cs="Arial"/>
        </w:rPr>
        <w:t>'</w:t>
      </w:r>
    </w:p>
    <w:p w:rsidR="00B06E4C" w:rsidP="00B06E4C">
      <w:pPr>
        <w:ind w:left="360" w:firstLine="360"/>
        <w:rPr>
          <w:rFonts w:ascii="Arial" w:eastAsia="Arial" w:hAnsi="Arial" w:cs="Arial"/>
        </w:rPr>
      </w:pPr>
      <w:bookmarkStart w:id="20" w:name="_INSTRUCTION__3c63e8c7_7605_451d_9fa0_c8"/>
      <w:bookmarkStart w:id="21" w:name="_PAR__18_16f0dab0_ea42_4335_afd2_4bc0286"/>
      <w:bookmarkEnd w:id="14"/>
      <w:bookmarkEnd w:id="19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B06E4C" w:rsidP="00B06E4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2" w:name="_SUMMARY__3f5cee0f_6867_4a8d_b870_d6aebe"/>
      <w:bookmarkStart w:id="23" w:name="_PAR__19_50de2d2a_dd5c_46c6_8d93_6540db6"/>
      <w:bookmarkEnd w:id="20"/>
      <w:bookmarkEnd w:id="21"/>
      <w:r>
        <w:rPr>
          <w:rFonts w:ascii="Arial" w:eastAsia="Arial" w:hAnsi="Arial" w:cs="Arial"/>
          <w:b/>
          <w:sz w:val="24"/>
        </w:rPr>
        <w:t>SUMMARY</w:t>
      </w:r>
    </w:p>
    <w:p w:rsidR="00000000" w:rsidP="00B06E4C">
      <w:pPr>
        <w:ind w:left="360" w:firstLine="360"/>
        <w:rPr>
          <w:rFonts w:ascii="Arial" w:eastAsia="Arial" w:hAnsi="Arial" w:cs="Arial"/>
        </w:rPr>
      </w:pPr>
      <w:bookmarkStart w:id="24" w:name="_PAR__20_a5709504_7bea_4627_b436_9dc3c5c"/>
      <w:bookmarkEnd w:id="23"/>
      <w:r w:rsidRPr="00003E20">
        <w:rPr>
          <w:rFonts w:ascii="Arial" w:eastAsia="Arial" w:hAnsi="Arial" w:cs="Arial"/>
        </w:rPr>
        <w:t xml:space="preserve">This amendment replaces the bill and changes the title.  Under the amendment, the Maine Commission on </w:t>
      </w:r>
      <w:r>
        <w:rPr>
          <w:rFonts w:ascii="Arial" w:eastAsia="Arial" w:hAnsi="Arial" w:cs="Arial"/>
        </w:rPr>
        <w:t>Public Defense</w:t>
      </w:r>
      <w:r w:rsidRPr="00003E20">
        <w:rPr>
          <w:rFonts w:ascii="Arial" w:eastAsia="Arial" w:hAnsi="Arial" w:cs="Arial"/>
        </w:rPr>
        <w:t xml:space="preserve"> Services is not required to reimburse the expenses of or to compensate an attorney appointed or assigned by a court to provide indigent legal </w:t>
      </w:r>
      <w:bookmarkStart w:id="25" w:name="_PAGE_SPLIT__2a48a9eb_7b47_40c9_86d1_f26"/>
      <w:bookmarkStart w:id="26" w:name="_PAGE__2_5ea260d9_5dcf_4735_ad74_fb12e00"/>
      <w:bookmarkStart w:id="27" w:name="_PAR__2_9788b8f5_4b24_4e2c_bce9_2740462b"/>
      <w:bookmarkEnd w:id="1"/>
      <w:bookmarkEnd w:id="24"/>
      <w:r w:rsidRPr="00003E20">
        <w:rPr>
          <w:rFonts w:ascii="Arial" w:eastAsia="Arial" w:hAnsi="Arial" w:cs="Arial"/>
        </w:rPr>
        <w:t>s</w:t>
      </w:r>
      <w:bookmarkEnd w:id="25"/>
      <w:r w:rsidRPr="00003E20">
        <w:rPr>
          <w:rFonts w:ascii="Arial" w:eastAsia="Arial" w:hAnsi="Arial" w:cs="Arial"/>
        </w:rPr>
        <w:t>ervices unless the attorney is an assigned counsel; the commission has determined that the attorney is eligible for appointment or assignment in the type of court proceeding to which the attorney has been appointed or assigned; and the attorney consents in advance to the appointment or assignment.</w:t>
      </w:r>
      <w:bookmarkEnd w:id="22"/>
      <w:bookmarkEnd w:id="26"/>
      <w:bookmarkEnd w:id="27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LR3017,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Prohibit the Appointment or Assignment of an Attorney to Provide Indigent Legal Services Without That Attorney's Consent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2195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03E20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06E4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