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for the 2026 and 2027 Allocations of the State Ceiling on Private Activity Bonds</w:t>
      </w:r>
    </w:p>
    <w:p w:rsidR="003F03B1" w:rsidP="003F03B1">
      <w:pPr>
        <w:spacing w:after="240"/>
        <w:ind w:left="360"/>
        <w:jc w:val="right"/>
        <w:rPr>
          <w:rFonts w:ascii="Arial" w:eastAsia="Arial" w:hAnsi="Arial" w:cs="Arial"/>
          <w:caps/>
        </w:rPr>
      </w:pPr>
      <w:bookmarkStart w:id="0" w:name="_AMEND_TITLE__97f1edef_0a5a_49d2_903d_49"/>
      <w:bookmarkStart w:id="1" w:name="_PAGE__1_ee5dcc16_40df_4de7_bc6d_12f82f0"/>
      <w:bookmarkStart w:id="2" w:name="_PAR__2_0874a5f7_b50e_4116_a934_2d53889f"/>
      <w:r>
        <w:rPr>
          <w:rFonts w:ascii="Arial" w:eastAsia="Arial" w:hAnsi="Arial" w:cs="Arial"/>
          <w:caps/>
        </w:rPr>
        <w:t>L.D. 2156</w:t>
      </w:r>
    </w:p>
    <w:p w:rsidR="003F03B1" w:rsidP="003F03B1">
      <w:pPr>
        <w:tabs>
          <w:tab w:val="right" w:pos="8928"/>
        </w:tabs>
        <w:spacing w:after="360"/>
        <w:ind w:left="360"/>
        <w:rPr>
          <w:rFonts w:ascii="Arial" w:eastAsia="Arial" w:hAnsi="Arial" w:cs="Arial"/>
        </w:rPr>
      </w:pPr>
      <w:bookmarkStart w:id="3" w:name="_PAR__3_f9f3ee8b_e5f8_4b09_9a36_41d9cba2"/>
      <w:bookmarkEnd w:id="2"/>
      <w:r>
        <w:rPr>
          <w:rFonts w:ascii="Arial" w:eastAsia="Arial" w:hAnsi="Arial" w:cs="Arial"/>
        </w:rPr>
        <w:t>Date:</w:t>
      </w:r>
      <w:r>
        <w:rPr>
          <w:rFonts w:ascii="Arial" w:eastAsia="Arial" w:hAnsi="Arial" w:cs="Arial"/>
        </w:rPr>
        <w:tab/>
        <w:t>(Filing No. S-         )</w:t>
      </w:r>
    </w:p>
    <w:p w:rsidR="003F03B1" w:rsidP="003F03B1">
      <w:pPr>
        <w:spacing w:before="600" w:after="300"/>
        <w:ind w:left="360"/>
        <w:jc w:val="center"/>
        <w:outlineLvl w:val="0"/>
        <w:rPr>
          <w:rFonts w:ascii="Arial" w:eastAsia="Arial" w:hAnsi="Arial" w:cs="Arial"/>
        </w:rPr>
      </w:pPr>
      <w:bookmarkStart w:id="4" w:name="_PAR__4_c03d2402_300d_4989_9155_c2cbce2c"/>
      <w:bookmarkEnd w:id="3"/>
      <w:r>
        <w:rPr>
          <w:rFonts w:ascii="Arial" w:eastAsia="Arial" w:hAnsi="Arial" w:cs="Arial"/>
          <w:b/>
          <w:caps/>
          <w:sz w:val="24"/>
          <w:szCs w:val="32"/>
        </w:rPr>
        <w:t xml:space="preserve">Housing and Economic Development </w:t>
      </w:r>
    </w:p>
    <w:p w:rsidR="003F03B1" w:rsidP="003F03B1">
      <w:pPr>
        <w:spacing w:before="60" w:after="60"/>
        <w:ind w:left="720"/>
        <w:rPr>
          <w:rFonts w:ascii="Arial" w:eastAsia="Arial" w:hAnsi="Arial" w:cs="Arial"/>
        </w:rPr>
      </w:pPr>
      <w:bookmarkStart w:id="5" w:name="_PAR__5_abda25d0_42f2_4e12_8929_1ebf238a"/>
      <w:bookmarkEnd w:id="4"/>
      <w:r>
        <w:rPr>
          <w:rFonts w:ascii="Arial" w:eastAsia="Arial" w:hAnsi="Arial" w:cs="Arial"/>
        </w:rPr>
        <w:t>Reproduced and distributed under the direction of the Secretary of the Senate.</w:t>
      </w:r>
    </w:p>
    <w:p w:rsidR="003F03B1" w:rsidP="003F03B1">
      <w:pPr>
        <w:spacing w:before="160" w:after="0"/>
        <w:ind w:left="360"/>
        <w:jc w:val="center"/>
        <w:outlineLvl w:val="0"/>
        <w:rPr>
          <w:rFonts w:ascii="Arial" w:eastAsia="Arial" w:hAnsi="Arial" w:cs="Arial"/>
          <w:b/>
          <w:caps/>
          <w:sz w:val="24"/>
          <w:szCs w:val="32"/>
        </w:rPr>
      </w:pPr>
      <w:bookmarkStart w:id="6" w:name="_PAR__6_01413f6c_e2a6_4888_8d6c_d5903f59"/>
      <w:bookmarkEnd w:id="5"/>
      <w:r>
        <w:rPr>
          <w:rFonts w:ascii="Arial" w:eastAsia="Arial" w:hAnsi="Arial" w:cs="Arial"/>
          <w:b/>
          <w:caps/>
          <w:sz w:val="24"/>
          <w:szCs w:val="32"/>
        </w:rPr>
        <w:t>STATE OF MAINE</w:t>
      </w:r>
    </w:p>
    <w:p w:rsidR="003F03B1" w:rsidP="003F03B1">
      <w:pPr>
        <w:spacing w:after="0"/>
        <w:ind w:left="360"/>
        <w:jc w:val="center"/>
        <w:outlineLvl w:val="0"/>
        <w:rPr>
          <w:rFonts w:ascii="Arial" w:eastAsia="Arial" w:hAnsi="Arial" w:cs="Arial"/>
          <w:b/>
          <w:caps/>
          <w:sz w:val="24"/>
          <w:szCs w:val="32"/>
        </w:rPr>
      </w:pPr>
      <w:bookmarkStart w:id="7" w:name="_PAR__7_639e47e6_ec84_4cf2_b795_b1d3592d"/>
      <w:bookmarkEnd w:id="6"/>
      <w:r>
        <w:rPr>
          <w:rFonts w:ascii="Arial" w:eastAsia="Arial" w:hAnsi="Arial" w:cs="Arial"/>
          <w:b/>
          <w:caps/>
          <w:sz w:val="24"/>
          <w:szCs w:val="32"/>
        </w:rPr>
        <w:t>SENATE</w:t>
      </w:r>
    </w:p>
    <w:p w:rsidR="003F03B1" w:rsidP="003F03B1">
      <w:pPr>
        <w:spacing w:after="0"/>
        <w:ind w:left="360"/>
        <w:jc w:val="center"/>
        <w:outlineLvl w:val="0"/>
        <w:rPr>
          <w:rFonts w:ascii="Arial" w:eastAsia="Arial" w:hAnsi="Arial" w:cs="Arial"/>
          <w:b/>
          <w:caps/>
          <w:sz w:val="24"/>
          <w:szCs w:val="32"/>
        </w:rPr>
      </w:pPr>
      <w:bookmarkStart w:id="8" w:name="_PAR__8_d052da4c_54bc_4085_b40a_da433fab"/>
      <w:bookmarkEnd w:id="7"/>
      <w:r>
        <w:rPr>
          <w:rFonts w:ascii="Arial" w:eastAsia="Arial" w:hAnsi="Arial" w:cs="Arial"/>
          <w:b/>
          <w:caps/>
          <w:sz w:val="24"/>
          <w:szCs w:val="32"/>
        </w:rPr>
        <w:t>132nd Legislature</w:t>
      </w:r>
    </w:p>
    <w:p w:rsidR="003F03B1" w:rsidP="003F03B1">
      <w:pPr>
        <w:spacing w:after="0"/>
        <w:ind w:left="360"/>
        <w:jc w:val="center"/>
        <w:outlineLvl w:val="0"/>
        <w:rPr>
          <w:rFonts w:ascii="Arial" w:eastAsia="Arial" w:hAnsi="Arial" w:cs="Arial"/>
          <w:b/>
          <w:caps/>
          <w:sz w:val="24"/>
          <w:szCs w:val="32"/>
        </w:rPr>
      </w:pPr>
      <w:bookmarkStart w:id="9" w:name="_PAR__9_0d21b70d_fdff_42dc_82e1_0499704c"/>
      <w:bookmarkEnd w:id="8"/>
      <w:r>
        <w:rPr>
          <w:rFonts w:ascii="Arial" w:eastAsia="Arial" w:hAnsi="Arial" w:cs="Arial"/>
          <w:b/>
          <w:caps/>
          <w:sz w:val="24"/>
          <w:szCs w:val="32"/>
        </w:rPr>
        <w:t>Second Regular Session</w:t>
      </w:r>
    </w:p>
    <w:p w:rsidR="003F03B1" w:rsidP="003F03B1">
      <w:pPr>
        <w:spacing w:before="400" w:after="200"/>
        <w:ind w:left="360" w:firstLine="360"/>
        <w:rPr>
          <w:rFonts w:ascii="Arial" w:eastAsia="Arial" w:hAnsi="Arial" w:cs="Arial"/>
        </w:rPr>
      </w:pPr>
      <w:bookmarkStart w:id="10" w:name="_PAR__10_abf37a72_e343_4b7b_bf7e_368a337"/>
      <w:bookmarkEnd w:id="9"/>
      <w:r>
        <w:rPr>
          <w:rFonts w:ascii="Arial" w:eastAsia="Arial" w:hAnsi="Arial" w:cs="Arial"/>
          <w:szCs w:val="22"/>
        </w:rPr>
        <w:t>COMMITTEE AMENDMENT “      ” to S.P. 875, L.D. 2156, “An Act to Provide for the 2026 and 2027 Allocations of the State Ceiling on Private Activity Bonds”</w:t>
      </w:r>
    </w:p>
    <w:p w:rsidR="003F03B1" w:rsidP="003F03B1">
      <w:pPr>
        <w:ind w:left="360" w:firstLine="360"/>
        <w:rPr>
          <w:rFonts w:ascii="Arial" w:eastAsia="Arial" w:hAnsi="Arial" w:cs="Arial"/>
        </w:rPr>
      </w:pPr>
      <w:bookmarkStart w:id="11" w:name="_INSTRUCTION__afd111c2_6cfa_4d57_a58f_b1"/>
      <w:bookmarkStart w:id="12" w:name="_PAR__11_04e29337_a489_4a34_a212_b113bb0"/>
      <w:bookmarkEnd w:id="0"/>
      <w:bookmarkEnd w:id="10"/>
      <w:r>
        <w:rPr>
          <w:rFonts w:ascii="Arial" w:eastAsia="Arial" w:hAnsi="Arial" w:cs="Arial"/>
        </w:rPr>
        <w:t>Amend the bill in section 2 in the 8th line (page 1, line 31 in L.D.) by striking out the following: "previously unallocated" and inserting the following: 'of which $47,625,000 was previously unallocated and $52,375,000 was previously allocated to the Maine State Housing Authority'</w:t>
      </w:r>
    </w:p>
    <w:p w:rsidR="003F03B1" w:rsidP="003F03B1">
      <w:pPr>
        <w:ind w:left="360" w:firstLine="360"/>
        <w:rPr>
          <w:rFonts w:ascii="Arial" w:eastAsia="Arial" w:hAnsi="Arial" w:cs="Arial"/>
        </w:rPr>
      </w:pPr>
      <w:bookmarkStart w:id="13" w:name="_INSTRUCTION__8a1b104d_87ba_4f63_b37c_23"/>
      <w:bookmarkStart w:id="14" w:name="_PAR__12_ce9b8d7a_0c47_4007_80a6_34f200c"/>
      <w:bookmarkEnd w:id="11"/>
      <w:bookmarkEnd w:id="12"/>
      <w:r>
        <w:rPr>
          <w:rFonts w:ascii="Arial" w:eastAsia="Arial" w:hAnsi="Arial" w:cs="Arial"/>
        </w:rPr>
        <w:t>Amend the bill in section 4 in the 3rd line (page 2, line 3 in L.D.) by inserting after the following: "$47,625,000" the following: ', and the remaining $52,375,000 is reallocated to the Finance Authority of Maine,'</w:t>
      </w:r>
    </w:p>
    <w:p w:rsidR="003F03B1" w:rsidP="003F03B1">
      <w:pPr>
        <w:ind w:left="360" w:firstLine="360"/>
        <w:rPr>
          <w:rFonts w:ascii="Arial" w:eastAsia="Arial" w:hAnsi="Arial" w:cs="Arial"/>
        </w:rPr>
      </w:pPr>
      <w:bookmarkStart w:id="15" w:name="_INSTRUCTION__e99d238b_230e_4fc3_bf8c_ae"/>
      <w:bookmarkStart w:id="16" w:name="_PAR__13_1a75cfc5_50f7_48d6_9a29_bc0e5fd"/>
      <w:bookmarkEnd w:id="13"/>
      <w:bookmarkEnd w:id="14"/>
      <w:r>
        <w:rPr>
          <w:rFonts w:ascii="Arial" w:eastAsia="Arial" w:hAnsi="Arial" w:cs="Arial"/>
        </w:rPr>
        <w:t>Amend the bill by relettering or renumbering any nonconsecutive Part letter or section number to read consecutively.</w:t>
      </w:r>
    </w:p>
    <w:p w:rsidR="003F03B1" w:rsidP="003F03B1">
      <w:pPr>
        <w:keepNext/>
        <w:spacing w:before="240"/>
        <w:ind w:left="360"/>
        <w:jc w:val="center"/>
        <w:rPr>
          <w:rFonts w:ascii="Arial" w:eastAsia="Arial" w:hAnsi="Arial" w:cs="Arial"/>
        </w:rPr>
      </w:pPr>
      <w:bookmarkStart w:id="17" w:name="_SUMMARY__97515338_fbda_423d_9f6a_5ffda8"/>
      <w:bookmarkStart w:id="18" w:name="_PAR__14_7d45487a_f1fa_4f57_b4da_71f97eb"/>
      <w:bookmarkEnd w:id="15"/>
      <w:bookmarkEnd w:id="16"/>
      <w:r>
        <w:rPr>
          <w:rFonts w:ascii="Arial" w:eastAsia="Arial" w:hAnsi="Arial" w:cs="Arial"/>
          <w:b/>
          <w:sz w:val="24"/>
        </w:rPr>
        <w:t>SUMMARY</w:t>
      </w:r>
    </w:p>
    <w:p w:rsidR="003F03B1" w:rsidP="003F03B1">
      <w:pPr>
        <w:keepNext/>
        <w:ind w:left="360" w:firstLine="360"/>
        <w:rPr>
          <w:rFonts w:ascii="Arial" w:eastAsia="Arial" w:hAnsi="Arial" w:cs="Arial"/>
        </w:rPr>
      </w:pPr>
      <w:bookmarkStart w:id="19" w:name="_PAR__15_bd2f5bc8_670c_4d2e_82ea_709029f"/>
      <w:bookmarkEnd w:id="18"/>
      <w:r>
        <w:rPr>
          <w:rFonts w:ascii="Arial" w:eastAsia="Arial" w:hAnsi="Arial" w:cs="Arial"/>
        </w:rPr>
        <w:t>This amendment clarifies portions of the bill related to the Finance Authority of Maine and the Maine State Housing Authority by specifying amounts and sources of the bond cap that were previously unallocated and amounts and sources that are now reallocated.</w:t>
      </w:r>
    </w:p>
    <w:p w:rsidR="003F03B1" w:rsidP="003F03B1">
      <w:pPr>
        <w:keepNext/>
        <w:spacing w:before="60" w:after="60"/>
        <w:ind w:left="360"/>
        <w:jc w:val="center"/>
        <w:rPr>
          <w:rFonts w:ascii="Arial" w:eastAsia="Arial" w:hAnsi="Arial" w:cs="Arial"/>
        </w:rPr>
      </w:pPr>
      <w:bookmarkStart w:id="20" w:name="_FISCAL_NOTE_REQUIRED__3b8d0cbf_69b6_411"/>
      <w:bookmarkStart w:id="21" w:name="_PAR__16_0b10a60e_1943_43e8_a272_4622ab1"/>
      <w:bookmarkEnd w:id="19"/>
      <w:r>
        <w:rPr>
          <w:rFonts w:ascii="Arial" w:eastAsia="Arial" w:hAnsi="Arial" w:cs="Arial"/>
          <w:b/>
        </w:rPr>
        <w:t>FISCAL NOTE REQUIRED</w:t>
      </w:r>
    </w:p>
    <w:p w:rsidR="00000000" w:rsidRPr="003F03B1" w:rsidP="003F03B1">
      <w:pPr>
        <w:spacing w:before="60" w:after="60"/>
        <w:ind w:left="360"/>
        <w:jc w:val="center"/>
        <w:rPr>
          <w:rFonts w:ascii="Arial" w:eastAsia="Arial" w:hAnsi="Arial" w:cs="Arial"/>
          <w:b/>
        </w:rPr>
      </w:pPr>
      <w:bookmarkStart w:id="22" w:name="_PAR__17_b1e27870_aeb3_46a7_8ab3_802309a"/>
      <w:bookmarkEnd w:id="21"/>
      <w:r>
        <w:rPr>
          <w:rFonts w:ascii="Arial" w:eastAsia="Arial" w:hAnsi="Arial" w:cs="Arial"/>
          <w:b/>
        </w:rPr>
        <w:t>(See attached)</w:t>
      </w:r>
      <w:bookmarkEnd w:id="1"/>
      <w:bookmarkEnd w:id="17"/>
      <w:bookmarkEnd w:id="20"/>
      <w:bookmarkEnd w:id="22"/>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LR2614,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Provide for the 2026 and 2027 Allocations of the State Ceiling on Private Activity Bonds</w:t>
    </w:r>
  </w:p>
  <w:p>
    <w:pPr>
      <w:suppressLineNumbers/>
      <w:spacing w:before="0" w:after="0"/>
      <w:jc w:val="center"/>
      <w:rPr>
        <w:rFonts w:ascii="Arial" w:eastAsia="Arial" w:hAnsi="Arial" w:cs="Arial"/>
      </w:rPr>
    </w:pPr>
    <w:r>
      <w:rPr>
        <w:rFonts w:ascii="Arial" w:eastAsia="Arial" w:hAnsi="Arial" w:cs="Arial"/>
        <w:sz w:val="22"/>
      </w:rPr>
      <w:t>L.D. 2156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03B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150022</ItemId>
    <LRId>76556</LRId>
    <ParentItemId>149327</ParentItemId>
    <LRNumber>2614</LRNumber>
    <LDNumber>2156</LDNumber>
    <PaperNumber>SP0875</PaperNumber>
    <ItemNumber>2</ItemNumber>
    <Legislature>132</Legislature>
    <LegislatureDescription>132nd Legislature</LegislatureDescription>
    <Session>R2</Session>
    <SessionDescription>Second Regular Session</SessionDescription>
    <RequestTypeId>14</RequestTypeId>
    <RequestItemTypeCode>A</RequestItemTypeCode>
    <ItemBillTypeId>14</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Housing and Economic Development</LeadCommitteeName>
    <LRTitle>An Act to Provide for the 2026 and 2027 Allocations of the State Ceiling on Private Activity Bonds</LRTitle>
    <ItemTitle>An Act to Provide for the 2026 and 2027 Allocations of the State Ceiling on Private Activity Bonds</ItemTitle>
    <OriginalItemTitle>An Act to Provide for the 2026 and 2027 Allocations of the State Ceiling on Private Activity Bonds</OriginalItemTitle>
    <ParentItemTitle>An Act to Provide for the 2026 and 2027 Allocations of the State Ceiling on Private Activity Bonds</ParentItemTitle>
    <Chamber>S</Chamber>
    <DraftingCycleCount>1</DraftingCycleCount>
    <LatestDraftingActionId>97</LatestDraftingActionId>
    <LatestDraftingActionDate>2026-02-11T15:24:35</LatestDraftingActionDate>
    <LatestDrafterName>SPaddon</LatestDrafterName>
    <LatestProoferName>abachelder</LatestProoferName>
    <LatestTechName>ALopatosky</LatestTechName>
    <CurrentCustodyInitials>abachelder</CurrentCustodyInitials>
    <AuthorityForIntroductionCode>IDP</AuthorityForIntroductionCode>
    <AuthorityForIntroductionDescription>Independent Dept or Agency</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w:rsidR="003F03B1" w:rsidRDefault="003F03B1" w:rsidP="003F03B1"&gt;&lt;w:pPr&gt;&lt;w:spacing w:after="240" /&gt;&lt;w:ind w:left="360" /&gt;&lt;w:jc w:val="right" /&gt;&lt;w:rPr&gt;&lt;w:caps /&gt;&lt;/w:rPr&gt;&lt;/w:pPr&gt;&lt;w:bookmarkStart w:id="0" w:name="_AMEND_TITLE__97f1edef_0a5a_49d2_903d_49" /&gt;&lt;w:bookmarkStart w:id="1" w:name="_PAGE__1_ee5dcc16_40df_4de7_bc6d_12f82f0" /&gt;&lt;w:bookmarkStart w:id="2" w:name="_PAR__2_0874a5f7_b50e_4116_a934_2d53889f" /&gt;&lt;w:r&gt;&lt;w:rPr&gt;&lt;w:caps /&gt;&lt;/w:rPr&gt;&lt;w:t&gt;L.D. 2156&lt;/w:t&gt;&lt;/w:r&gt;&lt;/w:p&gt;&lt;w:p w:rsidR="003F03B1" w:rsidRDefault="003F03B1" w:rsidP="003F03B1"&gt;&lt;w:pPr&gt;&lt;w:tabs&gt;&lt;w:tab w:val="right" w:pos="8928" /&gt;&lt;/w:tabs&gt;&lt;w:spacing w:after="360" /&gt;&lt;w:ind w:left="360" /&gt;&lt;/w:pPr&gt;&lt;w:bookmarkStart w:id="3" w:name="_PAR__3_f9f3ee8b_e5f8_4b09_9a36_41d9cba2" /&gt;&lt;w:bookmarkEnd w:id="2" /&gt;&lt;w:r&gt;&lt;w:t&gt;Date:&lt;/w:t&gt;&lt;/w:r&gt;&lt;w:r&gt;&lt;w:tab /&gt;&lt;w:t&gt;(Filing No. S-         )&lt;/w:t&gt;&lt;/w:r&gt;&lt;/w:p&gt;&lt;w:p w:rsidR="003F03B1" w:rsidRDefault="003F03B1" w:rsidP="003F03B1"&gt;&lt;w:pPr&gt;&lt;w:spacing w:before="600" w:after="300" /&gt;&lt;w:ind w:left="360" /&gt;&lt;w:jc w:val="center" /&gt;&lt;w:outlineLvl w:val="0" /&gt;&lt;/w:pPr&gt;&lt;w:bookmarkStart w:id="4" w:name="_PAR__4_c03d2402_300d_4989_9155_c2cbce2c" /&gt;&lt;w:bookmarkEnd w:id="3" /&gt;&lt;w:r&gt;&lt;w:rPr&gt;&lt;w:rFonts w:cs="Arial" /&gt;&lt;w:b /&gt;&lt;w:bCs /&gt;&lt;w:caps /&gt;&lt;w:sz w:val="24" /&gt;&lt;w:szCs w:val="32" /&gt;&lt;/w:rPr&gt;&lt;w:t xml:space="preserve"&gt;Housing and Economic Development &lt;/w:t&gt;&lt;/w:r&gt;&lt;/w:p&gt;&lt;w:p w:rsidR="003F03B1" w:rsidRDefault="003F03B1" w:rsidP="003F03B1"&gt;&lt;w:pPr&gt;&lt;w:spacing w:before="60" w:after="60" /&gt;&lt;w:ind w:left="720" /&gt;&lt;/w:pPr&gt;&lt;w:bookmarkStart w:id="5" w:name="_PAR__5_abda25d0_42f2_4e12_8929_1ebf238a" /&gt;&lt;w:bookmarkEnd w:id="4" /&gt;&lt;w:r&gt;&lt;w:t&gt;Reproduced and distributed under the direction of the Secretary of the Senate.&lt;/w:t&gt;&lt;/w:r&gt;&lt;/w:p&gt;&lt;w:p w:rsidR="003F03B1" w:rsidRDefault="003F03B1" w:rsidP="003F03B1"&gt;&lt;w:pPr&gt;&lt;w:spacing w:before="160" w:after="0" /&gt;&lt;w:ind w:left="360" /&gt;&lt;w:jc w:val="center" /&gt;&lt;w:outlineLvl w:val="0" /&gt;&lt;w:rPr&gt;&lt;w:rFonts w:cs="Arial" /&gt;&lt;w:b /&gt;&lt;w:bCs /&gt;&lt;w:caps /&gt;&lt;w:sz w:val="24" /&gt;&lt;w:szCs w:val="32" /&gt;&lt;/w:rPr&gt;&lt;/w:pPr&gt;&lt;w:bookmarkStart w:id="6" w:name="_PAR__6_01413f6c_e2a6_4888_8d6c_d5903f59" /&gt;&lt;w:bookmarkEnd w:id="5" /&gt;&lt;w:r&gt;&lt;w:rPr&gt;&lt;w:rFonts w:cs="Arial" /&gt;&lt;w:b /&gt;&lt;w:bCs /&gt;&lt;w:caps /&gt;&lt;w:sz w:val="24" /&gt;&lt;w:szCs w:val="32" /&gt;&lt;/w:rPr&gt;&lt;w:t&gt;STATE OF MAINE&lt;/w:t&gt;&lt;/w:r&gt;&lt;/w:p&gt;&lt;w:p w:rsidR="003F03B1" w:rsidRDefault="003F03B1" w:rsidP="003F03B1"&gt;&lt;w:pPr&gt;&lt;w:spacing w:after="0" /&gt;&lt;w:ind w:left="360" /&gt;&lt;w:jc w:val="center" /&gt;&lt;w:outlineLvl w:val="0" /&gt;&lt;w:rPr&gt;&lt;w:rFonts w:cs="Arial" /&gt;&lt;w:b /&gt;&lt;w:bCs /&gt;&lt;w:caps /&gt;&lt;w:sz w:val="24" /&gt;&lt;w:szCs w:val="32" /&gt;&lt;/w:rPr&gt;&lt;/w:pPr&gt;&lt;w:bookmarkStart w:id="7" w:name="_PAR__7_639e47e6_ec84_4cf2_b795_b1d3592d" /&gt;&lt;w:bookmarkEnd w:id="6" /&gt;&lt;w:r&gt;&lt;w:rPr&gt;&lt;w:rFonts w:cs="Arial" /&gt;&lt;w:b /&gt;&lt;w:bCs /&gt;&lt;w:caps /&gt;&lt;w:sz w:val="24" /&gt;&lt;w:szCs w:val="32" /&gt;&lt;/w:rPr&gt;&lt;w:t&gt;SENATE&lt;/w:t&gt;&lt;/w:r&gt;&lt;/w:p&gt;&lt;w:p w:rsidR="003F03B1" w:rsidRDefault="003F03B1" w:rsidP="003F03B1"&gt;&lt;w:pPr&gt;&lt;w:spacing w:after="0" /&gt;&lt;w:ind w:left="360" /&gt;&lt;w:jc w:val="center" /&gt;&lt;w:outlineLvl w:val="0" /&gt;&lt;w:rPr&gt;&lt;w:rFonts w:cs="Arial" /&gt;&lt;w:b /&gt;&lt;w:bCs /&gt;&lt;w:caps /&gt;&lt;w:sz w:val="24" /&gt;&lt;w:szCs w:val="32" /&gt;&lt;/w:rPr&gt;&lt;/w:pPr&gt;&lt;w:bookmarkStart w:id="8" w:name="_PAR__8_d052da4c_54bc_4085_b40a_da433fab" /&gt;&lt;w:bookmarkEnd w:id="7" /&gt;&lt;w:r&gt;&lt;w:rPr&gt;&lt;w:rFonts w:cs="Arial" /&gt;&lt;w:b /&gt;&lt;w:bCs /&gt;&lt;w:caps /&gt;&lt;w:sz w:val="24" /&gt;&lt;w:szCs w:val="32" /&gt;&lt;/w:rPr&gt;&lt;w:t&gt;132nd Legislature&lt;/w:t&gt;&lt;/w:r&gt;&lt;/w:p&gt;&lt;w:p w:rsidR="003F03B1" w:rsidRDefault="003F03B1" w:rsidP="003F03B1"&gt;&lt;w:pPr&gt;&lt;w:spacing w:after="0" /&gt;&lt;w:ind w:left="360" /&gt;&lt;w:jc w:val="center" /&gt;&lt;w:outlineLvl w:val="0" /&gt;&lt;w:rPr&gt;&lt;w:rFonts w:cs="Arial" /&gt;&lt;w:b /&gt;&lt;w:bCs /&gt;&lt;w:caps /&gt;&lt;w:sz w:val="24" /&gt;&lt;w:szCs w:val="32" /&gt;&lt;/w:rPr&gt;&lt;/w:pPr&gt;&lt;w:bookmarkStart w:id="9" w:name="_PAR__9_0d21b70d_fdff_42dc_82e1_0499704c" /&gt;&lt;w:bookmarkEnd w:id="8" /&gt;&lt;w:r&gt;&lt;w:rPr&gt;&lt;w:rFonts w:cs="Arial" /&gt;&lt;w:b /&gt;&lt;w:bCs /&gt;&lt;w:caps /&gt;&lt;w:sz w:val="24" /&gt;&lt;w:szCs w:val="32" /&gt;&lt;/w:rPr&gt;&lt;w:t&gt;Second Regular Session&lt;/w:t&gt;&lt;/w:r&gt;&lt;/w:p&gt;&lt;w:p w:rsidR="003F03B1" w:rsidRDefault="003F03B1" w:rsidP="003F03B1"&gt;&lt;w:pPr&gt;&lt;w:spacing w:before="400" w:after="200" /&gt;&lt;w:ind w:left="360" w:firstLine="360" /&gt;&lt;/w:pPr&gt;&lt;w:bookmarkStart w:id="10" w:name="_PAR__10_abf37a72_e343_4b7b_bf7e_368a337" /&gt;&lt;w:bookmarkEnd w:id="9" /&gt;&lt;w:r&gt;&lt;w:rPr&gt;&lt;w:szCs w:val="22" /&gt;&lt;/w:rPr&gt;&lt;w:t&gt;COMMITTEE AMENDMENT “      ” to S.P. 875, L.D. 2156, “An Act to Provide for the 2026 and 2027 Allocations of the State Ceiling on Private Activity Bonds”&lt;/w:t&gt;&lt;/w:r&gt;&lt;/w:p&gt;&lt;w:p w:rsidR="003F03B1" w:rsidRDefault="003F03B1" w:rsidP="003F03B1"&gt;&lt;w:pPr&gt;&lt;w:ind w:left="360" w:firstLine="360" /&gt;&lt;/w:pPr&gt;&lt;w:bookmarkStart w:id="11" w:name="_INSTRUCTION__afd111c2_6cfa_4d57_a58f_b1" /&gt;&lt;w:bookmarkStart w:id="12" w:name="_PAR__11_04e29337_a489_4a34_a212_b113bb0" /&gt;&lt;w:bookmarkEnd w:id="0" /&gt;&lt;w:bookmarkEnd w:id="10" /&gt;&lt;w:r&gt;&lt;w:t&gt;Amend the bill in section 2 in the 8th line (page 1, line 31 in L.D.) by striking out the following: "previously unallocated" and inserting the following: 'of which $47,625,000 was previously unallocated and $52,375,000 was previously allocated to the Maine State Housing Authority'&lt;/w:t&gt;&lt;/w:r&gt;&lt;/w:p&gt;&lt;w:p w:rsidR="003F03B1" w:rsidRDefault="003F03B1" w:rsidP="003F03B1"&gt;&lt;w:pPr&gt;&lt;w:ind w:left="360" w:firstLine="360" /&gt;&lt;/w:pPr&gt;&lt;w:bookmarkStart w:id="13" w:name="_INSTRUCTION__8a1b104d_87ba_4f63_b37c_23" /&gt;&lt;w:bookmarkStart w:id="14" w:name="_PAR__12_ce9b8d7a_0c47_4007_80a6_34f200c" /&gt;&lt;w:bookmarkEnd w:id="11" /&gt;&lt;w:bookmarkEnd w:id="12" /&gt;&lt;w:r&gt;&lt;w:t&gt;Amend the bill in section 4 in the 3rd line (page 2, line 3 in L.D.) by inserting after the following: "$47,625,000" the following: ', and the remaining $52,375,000 is reallocated to the Finance Authority of Maine,'&lt;/w:t&gt;&lt;/w:r&gt;&lt;/w:p&gt;&lt;w:p w:rsidR="003F03B1" w:rsidRDefault="003F03B1" w:rsidP="003F03B1"&gt;&lt;w:pPr&gt;&lt;w:ind w:left="360" w:firstLine="360" /&gt;&lt;/w:pPr&gt;&lt;w:bookmarkStart w:id="15" w:name="_INSTRUCTION__e99d238b_230e_4fc3_bf8c_ae" /&gt;&lt;w:bookmarkStart w:id="16" w:name="_PAR__13_1a75cfc5_50f7_48d6_9a29_bc0e5fd" /&gt;&lt;w:bookmarkEnd w:id="13" /&gt;&lt;w:bookmarkEnd w:id="14" /&gt;&lt;w:r&gt;&lt;w:t&gt;Amend the bill by relettering or renumbering any nonconsecutive Part letter or section number to read consecutively.&lt;/w:t&gt;&lt;/w:r&gt;&lt;/w:p&gt;&lt;w:p w:rsidR="003F03B1" w:rsidRDefault="003F03B1" w:rsidP="003F03B1"&gt;&lt;w:pPr&gt;&lt;w:keepNext /&gt;&lt;w:spacing w:before="240" /&gt;&lt;w:ind w:left="360" /&gt;&lt;w:jc w:val="center" /&gt;&lt;/w:pPr&gt;&lt;w:bookmarkStart w:id="17" w:name="_SUMMARY__97515338_fbda_423d_9f6a_5ffda8" /&gt;&lt;w:bookmarkStart w:id="18" w:name="_PAR__14_7d45487a_f1fa_4f57_b4da_71f97eb" /&gt;&lt;w:bookmarkEnd w:id="15" /&gt;&lt;w:bookmarkEnd w:id="16" /&gt;&lt;w:r&gt;&lt;w:rPr&gt;&lt;w:b /&gt;&lt;w:sz w:val="24" /&gt;&lt;/w:rPr&gt;&lt;w:t&gt;SUMMARY&lt;/w:t&gt;&lt;/w:r&gt;&lt;/w:p&gt;&lt;w:p w:rsidR="003F03B1" w:rsidRDefault="003F03B1" w:rsidP="003F03B1"&gt;&lt;w:pPr&gt;&lt;w:keepNext /&gt;&lt;w:ind w:left="360" w:firstLine="360" /&gt;&lt;/w:pPr&gt;&lt;w:bookmarkStart w:id="19" w:name="_PAR__15_bd2f5bc8_670c_4d2e_82ea_709029f" /&gt;&lt;w:bookmarkEnd w:id="18" /&gt;&lt;w:r&gt;&lt;w:t&gt;This amendment clarifies portions of the bill related to the Finance Authority of Maine and the Maine State Housing Authority by specifying amounts and sources of the bond cap that were previously unallocated and amounts and sources that are now reallocated.&lt;/w:t&gt;&lt;/w:r&gt;&lt;/w:p&gt;&lt;w:p w:rsidR="003F03B1" w:rsidRDefault="003F03B1" w:rsidP="003F03B1"&gt;&lt;w:pPr&gt;&lt;w:keepNext /&gt;&lt;w:spacing w:before="60" w:after="60" /&gt;&lt;w:ind w:left="360" /&gt;&lt;w:jc w:val="center" /&gt;&lt;/w:pPr&gt;&lt;w:bookmarkStart w:id="20" w:name="_FISCAL_NOTE_REQUIRED__3b8d0cbf_69b6_411" /&gt;&lt;w:bookmarkStart w:id="21" w:name="_PAR__16_0b10a60e_1943_43e8_a272_4622ab1" /&gt;&lt;w:bookmarkEnd w:id="19" /&gt;&lt;w:r&gt;&lt;w:rPr&gt;&lt;w:b /&gt;&lt;/w:rPr&gt;&lt;w:t&gt;FISCAL NOTE REQUIRED&lt;/w:t&gt;&lt;/w:r&gt;&lt;/w:p&gt;&lt;w:p w:rsidR="00000000" w:rsidRPr="003F03B1" w:rsidRDefault="003F03B1" w:rsidP="003F03B1"&gt;&lt;w:pPr&gt;&lt;w:spacing w:before="60" w:after="60" /&gt;&lt;w:ind w:left="360" /&gt;&lt;w:jc w:val="center" /&gt;&lt;w:rPr&gt;&lt;w:b /&gt;&lt;/w:rPr&gt;&lt;/w:pPr&gt;&lt;w:bookmarkStart w:id="22" w:name="_PAR__17_b1e27870_aeb3_46a7_8ab3_802309a" /&gt;&lt;w:bookmarkEnd w:id="21" /&gt;&lt;w:r&gt;&lt;w:rPr&gt;&lt;w:b /&gt;&lt;/w:rPr&gt;&lt;w:t&gt;(See attached)&lt;/w:t&gt;&lt;/w:r&gt;&lt;w:bookmarkEnd w:id="1" /&gt;&lt;w:bookmarkEnd w:id="17" /&gt;&lt;w:bookmarkEnd w:id="20" /&gt;&lt;w:bookmarkEnd w:id="22" /&gt;&lt;/w:p&gt;&lt;w:sectPr w:rsidR="00000000" w:rsidRPr="003F03B1" w:rsidSect="003F03B1"&gt;&lt;w:footerReference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_PAGE__1_ee5dcc16_40df_4de7_bc6d_12f82f0</BookmarkName>
                <Tables/>
              </ProcessedCheckInPage>
            </Pages>
            <Paragraphs>
              <CheckInParagraphs>
                <PageNumber>1</PageNumber>
                <BookmarkName>_PAR__2_0874a5f7_b50e_4116_a934_2d53889f</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_PAR__3_f9f3ee8b_e5f8_4b09_9a36_41d9cba2</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_PAR__4_c03d2402_300d_4989_9155_c2cbce2c</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_PAR__5_abda25d0_42f2_4e12_8929_1ebf238a</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_PAR__6_01413f6c_e2a6_4888_8d6c_d5903f59</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_PAR__7_639e47e6_ec84_4cf2_b795_b1d3592d</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_PAR__8_d052da4c_54bc_4085_b40a_da433fab</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_PAR__9_0d21b70d_fdff_42dc_82e1_0499704c</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_PAR__10_abf37a72_e343_4b7b_bf7e_368a337</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_PAR__11_04e29337_a489_4a34_a212_b113bb0</BookmarkName>
                <StartingLineNumber>11</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_PAR__12_ce9b8d7a_0c47_4007_80a6_34f200c</BookmarkName>
                <StartingLineNumber>15</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_PAR__13_1a75cfc5_50f7_48d6_9a29_bc0e5fd</BookmarkName>
                <StartingLineNumber>18</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_PAR__14_7d45487a_f1fa_4f57_b4da_71f97eb</BookmarkName>
                <StartingLineNumber>20</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_PAR__15_bd2f5bc8_670c_4d2e_82ea_709029f</BookmarkName>
                <StartingLineNumber>21</StartingLineNumber>
                <EndingLineNumber>23</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_PAR__16_0b10a60e_1943_43e8_a272_4622ab1</BookmarkName>
                <StartingLineNumber>24</StartingLineNumber>
                <EndingLineNumber>24</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_PAR__17_b1e27870_aeb3_46a7_8ab3_802309a</BookmarkName>
                <StartingLineNumber>25</StartingLineNumber>
                <EndingLineNumber>25</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