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Maine's Good Samaritan Laws Regarding Suspected Drug-related Overdoses</w:t>
      </w:r>
    </w:p>
    <w:p w:rsidR="007239DA" w:rsidP="007239DA">
      <w:pPr>
        <w:spacing w:after="240"/>
        <w:ind w:left="360"/>
        <w:jc w:val="right"/>
        <w:rPr>
          <w:rFonts w:ascii="Arial" w:eastAsia="Arial" w:hAnsi="Arial" w:cs="Arial"/>
          <w:caps/>
        </w:rPr>
      </w:pPr>
      <w:bookmarkStart w:id="0" w:name="_AMEND_TITLE__a63297a1_4a08_411e_8904_0c"/>
      <w:bookmarkStart w:id="1" w:name="_PAGE__1_dee44765_8665_4db9_93d6_9d7c3c7"/>
      <w:bookmarkStart w:id="2" w:name="_PAR__2_928248d1_beee_4279_b402_d7c8b6ab"/>
      <w:r>
        <w:rPr>
          <w:rFonts w:ascii="Arial" w:eastAsia="Arial" w:hAnsi="Arial" w:cs="Arial"/>
          <w:caps/>
        </w:rPr>
        <w:t>L.D. 1646</w:t>
      </w:r>
    </w:p>
    <w:p w:rsidR="007239DA" w:rsidP="007239DA">
      <w:pPr>
        <w:tabs>
          <w:tab w:val="right" w:pos="8928"/>
        </w:tabs>
        <w:spacing w:after="360"/>
        <w:ind w:left="360"/>
        <w:rPr>
          <w:rFonts w:ascii="Arial" w:eastAsia="Arial" w:hAnsi="Arial" w:cs="Arial"/>
        </w:rPr>
      </w:pPr>
      <w:bookmarkStart w:id="3" w:name="_PAR__3_ac941ffa_2e9a_42bb_b63a_45cb4a5f"/>
      <w:bookmarkEnd w:id="2"/>
      <w:r>
        <w:rPr>
          <w:rFonts w:ascii="Arial" w:eastAsia="Arial" w:hAnsi="Arial" w:cs="Arial"/>
        </w:rPr>
        <w:t>Date:</w:t>
      </w:r>
      <w:r>
        <w:rPr>
          <w:rFonts w:ascii="Arial" w:eastAsia="Arial" w:hAnsi="Arial" w:cs="Arial"/>
        </w:rPr>
        <w:tab/>
        <w:t>(Filing No. S-         )</w:t>
      </w:r>
    </w:p>
    <w:p w:rsidR="007239DA" w:rsidP="007239DA">
      <w:pPr>
        <w:spacing w:before="600" w:after="300"/>
        <w:ind w:left="360"/>
        <w:jc w:val="center"/>
        <w:outlineLvl w:val="0"/>
        <w:rPr>
          <w:rFonts w:ascii="Arial" w:eastAsia="Arial" w:hAnsi="Arial" w:cs="Arial"/>
        </w:rPr>
      </w:pPr>
      <w:bookmarkStart w:id="4" w:name="_PAR__4_306c2340_09c6_4de0_9c7a_68c6f07a"/>
      <w:bookmarkEnd w:id="3"/>
      <w:r>
        <w:rPr>
          <w:rFonts w:ascii="Arial" w:eastAsia="Arial" w:hAnsi="Arial" w:cs="Arial"/>
          <w:b/>
          <w:caps/>
          <w:sz w:val="24"/>
          <w:szCs w:val="32"/>
        </w:rPr>
        <w:t xml:space="preserve">Criminal Justice and Public Safety </w:t>
      </w:r>
    </w:p>
    <w:p w:rsidR="007239DA" w:rsidP="007239DA">
      <w:pPr>
        <w:spacing w:before="60" w:after="60"/>
        <w:ind w:left="720"/>
        <w:rPr>
          <w:rFonts w:ascii="Arial" w:eastAsia="Arial" w:hAnsi="Arial" w:cs="Arial"/>
        </w:rPr>
      </w:pPr>
      <w:bookmarkStart w:id="5" w:name="_PAR__5_286c92b8_c661_405c_ad84_c554729e"/>
      <w:bookmarkEnd w:id="4"/>
      <w:r>
        <w:rPr>
          <w:rFonts w:ascii="Arial" w:eastAsia="Arial" w:hAnsi="Arial" w:cs="Arial"/>
        </w:rPr>
        <w:t>Reproduced and distributed under the direction of the Secretary of the Senate.</w:t>
      </w:r>
    </w:p>
    <w:p w:rsidR="007239DA" w:rsidP="007239DA">
      <w:pPr>
        <w:spacing w:before="160" w:after="0"/>
        <w:ind w:left="360"/>
        <w:jc w:val="center"/>
        <w:outlineLvl w:val="0"/>
        <w:rPr>
          <w:rFonts w:ascii="Arial" w:eastAsia="Arial" w:hAnsi="Arial" w:cs="Arial"/>
          <w:b/>
          <w:caps/>
          <w:sz w:val="24"/>
          <w:szCs w:val="32"/>
        </w:rPr>
      </w:pPr>
      <w:bookmarkStart w:id="6" w:name="_PAR__6_a8fd2783_b854_4ed2_ab94_8db17eb9"/>
      <w:bookmarkEnd w:id="5"/>
      <w:r>
        <w:rPr>
          <w:rFonts w:ascii="Arial" w:eastAsia="Arial" w:hAnsi="Arial" w:cs="Arial"/>
          <w:b/>
          <w:caps/>
          <w:sz w:val="24"/>
          <w:szCs w:val="32"/>
        </w:rPr>
        <w:t>STATE OF MAINE</w:t>
      </w:r>
    </w:p>
    <w:p w:rsidR="007239DA" w:rsidP="007239DA">
      <w:pPr>
        <w:spacing w:after="0"/>
        <w:ind w:left="360"/>
        <w:jc w:val="center"/>
        <w:outlineLvl w:val="0"/>
        <w:rPr>
          <w:rFonts w:ascii="Arial" w:eastAsia="Arial" w:hAnsi="Arial" w:cs="Arial"/>
          <w:b/>
          <w:caps/>
          <w:sz w:val="24"/>
          <w:szCs w:val="32"/>
        </w:rPr>
      </w:pPr>
      <w:bookmarkStart w:id="7" w:name="_PAR__7_2cfca451_225e_4ff8_bc48_f3d565cc"/>
      <w:bookmarkEnd w:id="6"/>
      <w:r>
        <w:rPr>
          <w:rFonts w:ascii="Arial" w:eastAsia="Arial" w:hAnsi="Arial" w:cs="Arial"/>
          <w:b/>
          <w:caps/>
          <w:sz w:val="24"/>
          <w:szCs w:val="32"/>
        </w:rPr>
        <w:t>SENATE</w:t>
      </w:r>
    </w:p>
    <w:p w:rsidR="007239DA" w:rsidP="007239DA">
      <w:pPr>
        <w:spacing w:after="0"/>
        <w:ind w:left="360"/>
        <w:jc w:val="center"/>
        <w:outlineLvl w:val="0"/>
        <w:rPr>
          <w:rFonts w:ascii="Arial" w:eastAsia="Arial" w:hAnsi="Arial" w:cs="Arial"/>
          <w:b/>
          <w:caps/>
          <w:sz w:val="24"/>
          <w:szCs w:val="32"/>
        </w:rPr>
      </w:pPr>
      <w:bookmarkStart w:id="8" w:name="_PAR__8_27cadc80_50c4_4ba5_b252_ce12b317"/>
      <w:bookmarkEnd w:id="7"/>
      <w:r>
        <w:rPr>
          <w:rFonts w:ascii="Arial" w:eastAsia="Arial" w:hAnsi="Arial" w:cs="Arial"/>
          <w:b/>
          <w:caps/>
          <w:sz w:val="24"/>
          <w:szCs w:val="32"/>
        </w:rPr>
        <w:t>132nd Legislature</w:t>
      </w:r>
    </w:p>
    <w:p w:rsidR="007239DA" w:rsidP="007239DA">
      <w:pPr>
        <w:spacing w:after="0"/>
        <w:ind w:left="360"/>
        <w:jc w:val="center"/>
        <w:outlineLvl w:val="0"/>
        <w:rPr>
          <w:rFonts w:ascii="Arial" w:eastAsia="Arial" w:hAnsi="Arial" w:cs="Arial"/>
          <w:b/>
          <w:caps/>
          <w:sz w:val="24"/>
          <w:szCs w:val="32"/>
        </w:rPr>
      </w:pPr>
      <w:bookmarkStart w:id="9" w:name="_PAR__9_21e2dedf_e864_47fb_bcd6_b05935ab"/>
      <w:bookmarkEnd w:id="8"/>
      <w:r>
        <w:rPr>
          <w:rFonts w:ascii="Arial" w:eastAsia="Arial" w:hAnsi="Arial" w:cs="Arial"/>
          <w:b/>
          <w:caps/>
          <w:sz w:val="24"/>
          <w:szCs w:val="32"/>
        </w:rPr>
        <w:t>Second Regular Session</w:t>
      </w:r>
    </w:p>
    <w:p w:rsidR="007239DA" w:rsidP="007239DA">
      <w:pPr>
        <w:spacing w:before="400" w:after="200"/>
        <w:ind w:left="360" w:firstLine="360"/>
        <w:rPr>
          <w:rFonts w:ascii="Arial" w:eastAsia="Arial" w:hAnsi="Arial" w:cs="Arial"/>
        </w:rPr>
      </w:pPr>
      <w:bookmarkStart w:id="10" w:name="_PAR__10_ae3242bb_a124_4def_a8ca_3024b2a"/>
      <w:bookmarkEnd w:id="9"/>
      <w:r>
        <w:rPr>
          <w:rFonts w:ascii="Arial" w:eastAsia="Arial" w:hAnsi="Arial" w:cs="Arial"/>
          <w:szCs w:val="22"/>
        </w:rPr>
        <w:t>COMMITTEE AMENDMENT “      ” to S.P. 643, L.D. 1646, “An Act to Amend Maine's Good Samaritan Laws Regarding Suspected Drug-related Overdoses”</w:t>
      </w:r>
    </w:p>
    <w:p w:rsidR="007239DA" w:rsidP="007239DA">
      <w:pPr>
        <w:ind w:left="360" w:firstLine="360"/>
        <w:rPr>
          <w:rFonts w:ascii="Arial" w:eastAsia="Arial" w:hAnsi="Arial" w:cs="Arial"/>
        </w:rPr>
      </w:pPr>
      <w:bookmarkStart w:id="11" w:name="_INSTRUCTION__8469aa2f_7a7f_4e48_b256_5d"/>
      <w:bookmarkStart w:id="12" w:name="_PAR__11_a9984c72_5973_4fca_83fc_49ef623"/>
      <w:bookmarkEnd w:id="0"/>
      <w:bookmarkEnd w:id="10"/>
      <w:r>
        <w:rPr>
          <w:rFonts w:ascii="Arial" w:eastAsia="Arial" w:hAnsi="Arial" w:cs="Arial"/>
        </w:rPr>
        <w:t>Amend the bill by striking out the title and substituting the following:</w:t>
      </w:r>
    </w:p>
    <w:p w:rsidR="007239DA" w:rsidP="007239DA">
      <w:pPr>
        <w:ind w:left="360"/>
        <w:rPr>
          <w:rFonts w:ascii="Arial" w:eastAsia="Arial" w:hAnsi="Arial" w:cs="Arial"/>
        </w:rPr>
      </w:pPr>
      <w:bookmarkStart w:id="13" w:name="_PAR__12_b87fa026_3f61_4d43_86cd_78c4bd0"/>
      <w:bookmarkEnd w:id="12"/>
      <w:r>
        <w:rPr>
          <w:rFonts w:ascii="Arial" w:eastAsia="Arial" w:hAnsi="Arial" w:cs="Arial"/>
          <w:b/>
        </w:rPr>
        <w:t>'An Act to Require the Maine Criminal Justice Academy to Establish Training Requirements for Law Enforcement Officers Regarding the State's Good Samaritan Laws'</w:t>
      </w:r>
    </w:p>
    <w:p w:rsidR="007239DA" w:rsidP="007239DA">
      <w:pPr>
        <w:ind w:left="360" w:firstLine="360"/>
        <w:rPr>
          <w:rFonts w:ascii="Arial" w:eastAsia="Arial" w:hAnsi="Arial" w:cs="Arial"/>
        </w:rPr>
      </w:pPr>
      <w:bookmarkStart w:id="14" w:name="_INSTRUCTION__a6983942_be25_41f2_8b35_9a"/>
      <w:bookmarkStart w:id="15" w:name="_PAR__13_6a84cdca_4d9d_4c6b_9409_54b63fd"/>
      <w:bookmarkEnd w:id="11"/>
      <w:bookmarkEnd w:id="13"/>
      <w:r>
        <w:rPr>
          <w:rFonts w:ascii="Arial" w:eastAsia="Arial" w:hAnsi="Arial" w:cs="Arial"/>
        </w:rPr>
        <w:t>Amend the bill by striking out everything after the enacting clause and inserting the following:</w:t>
      </w:r>
    </w:p>
    <w:p w:rsidR="007239DA" w:rsidP="007239DA">
      <w:pPr>
        <w:ind w:left="360" w:firstLine="360"/>
        <w:rPr>
          <w:rFonts w:ascii="Arial" w:eastAsia="Arial" w:hAnsi="Arial" w:cs="Arial"/>
        </w:rPr>
      </w:pPr>
      <w:bookmarkStart w:id="16" w:name="_PAR__14_acda0534_cd84_4a2c_a9f0_ada88b9"/>
      <w:bookmarkEnd w:id="15"/>
      <w:r>
        <w:rPr>
          <w:rFonts w:ascii="Arial" w:eastAsia="Arial" w:hAnsi="Arial" w:cs="Arial"/>
        </w:rPr>
        <w:t>'</w:t>
      </w:r>
      <w:r>
        <w:rPr>
          <w:rFonts w:ascii="Arial" w:eastAsia="Arial" w:hAnsi="Arial" w:cs="Arial"/>
          <w:b/>
          <w:sz w:val="24"/>
        </w:rPr>
        <w:t>Sec. 1.  25 MRSA §2804-C, sub-§2-H</w:t>
      </w:r>
      <w:r>
        <w:rPr>
          <w:rFonts w:ascii="Arial" w:eastAsia="Arial" w:hAnsi="Arial" w:cs="Arial"/>
        </w:rPr>
        <w:t xml:space="preserve"> is enacted to read:</w:t>
      </w:r>
    </w:p>
    <w:p w:rsidR="007239DA" w:rsidP="007239DA">
      <w:pPr>
        <w:ind w:left="360" w:firstLine="360"/>
        <w:rPr>
          <w:rFonts w:ascii="Arial" w:eastAsia="Arial" w:hAnsi="Arial" w:cs="Arial"/>
        </w:rPr>
      </w:pPr>
      <w:bookmarkStart w:id="17" w:name="_PAR__15_6dfe454f_43a0_4f9c_b688_aa1f994"/>
      <w:bookmarkEnd w:id="16"/>
      <w:r>
        <w:rPr>
          <w:rFonts w:ascii="Arial" w:eastAsia="Arial" w:hAnsi="Arial" w:cs="Arial"/>
          <w:b/>
          <w:u w:val="single"/>
        </w:rPr>
        <w:t xml:space="preserve">2-H.  Training regarding procedures for responding to call for assistance for suspected drug-related overdose. </w:t>
      </w:r>
      <w:r>
        <w:rPr>
          <w:rFonts w:ascii="Arial" w:eastAsia="Arial" w:hAnsi="Arial" w:cs="Arial"/>
          <w:u w:val="single"/>
        </w:rPr>
        <w:t xml:space="preserve"> Beginning January 1, 2028, the board shall include in the basic law enforcement training program a block of instruction on appropriate procedures for responding to a call for assistance for a suspected drug-related overdose. The training must include information regarding identifying symptoms of a drug-related overdose and a protected person's immunity from arrest for a violation of law pursuant to Title 17-A, section 1111-B. The training must be developed and provided within existing resources and through collaboration between a statewide advocacy organization specializing in substance use disorder and a tier 1 distributor of naloxone hydrochloride under the Maine naloxone distribution initiative or successor organization. For the purposes of this subsection, "protected person" has the same meaning as in Title 17</w:t>
      </w:r>
      <w:r>
        <w:rPr>
          <w:rFonts w:ascii="Arial" w:eastAsia="Arial" w:hAnsi="Arial" w:cs="Arial"/>
          <w:u w:val="single"/>
        </w:rPr>
        <w:noBreakHyphen/>
        <w:t>A, section 1111</w:t>
      </w:r>
      <w:r>
        <w:rPr>
          <w:rFonts w:ascii="Arial" w:eastAsia="Arial" w:hAnsi="Arial" w:cs="Arial"/>
          <w:u w:val="single"/>
        </w:rPr>
        <w:noBreakHyphen/>
        <w:t>B, subsection 1, paragraph B.</w:t>
      </w:r>
    </w:p>
    <w:p w:rsidR="007239DA" w:rsidP="007239DA">
      <w:pPr>
        <w:ind w:left="360" w:firstLine="360"/>
        <w:rPr>
          <w:rFonts w:ascii="Arial" w:eastAsia="Arial" w:hAnsi="Arial" w:cs="Arial"/>
        </w:rPr>
      </w:pPr>
      <w:bookmarkStart w:id="18" w:name="_PAR__16_b1e6384d_6e4e_40e5_9d2c_4f68cc7"/>
      <w:bookmarkEnd w:id="17"/>
      <w:r>
        <w:rPr>
          <w:rFonts w:ascii="Arial" w:eastAsia="Arial" w:hAnsi="Arial" w:cs="Arial"/>
          <w:b/>
          <w:sz w:val="24"/>
        </w:rPr>
        <w:t>Sec. 2.  25 MRSA §2804-E, sub-§2,</w:t>
      </w:r>
      <w:r>
        <w:rPr>
          <w:rFonts w:ascii="Arial" w:eastAsia="Arial" w:hAnsi="Arial" w:cs="Arial"/>
        </w:rPr>
        <w:t xml:space="preserve"> as amended by PL 2013, c. 147, §34, is repealed and the following enacted in its place:</w:t>
      </w:r>
    </w:p>
    <w:p w:rsidR="007239DA" w:rsidP="007239DA">
      <w:pPr>
        <w:ind w:left="360" w:firstLine="360"/>
        <w:rPr>
          <w:rFonts w:ascii="Arial" w:eastAsia="Arial" w:hAnsi="Arial" w:cs="Arial"/>
        </w:rPr>
      </w:pPr>
      <w:bookmarkStart w:id="19" w:name="_PAR__17_ebbe8778_c1a6_4cb1_b8ac_0c10369"/>
      <w:bookmarkEnd w:id="18"/>
      <w:r>
        <w:rPr>
          <w:rFonts w:ascii="Arial" w:eastAsia="Arial" w:hAnsi="Arial" w:cs="Arial"/>
          <w:b/>
          <w:u w:val="single"/>
        </w:rPr>
        <w:t xml:space="preserve">2.  Role of board. </w:t>
      </w:r>
      <w:r>
        <w:rPr>
          <w:rFonts w:ascii="Arial" w:eastAsia="Arial" w:hAnsi="Arial" w:cs="Arial"/>
          <w:u w:val="single"/>
        </w:rPr>
        <w:t xml:space="preserve"> The board shall establish in-service recertification training requirements, consistent with subsection 1, and coordinate delivery of in-service training.  The in-service recertification training requirements must include information on:</w:t>
      </w:r>
    </w:p>
    <w:p w:rsidR="007239DA" w:rsidP="007239DA">
      <w:pPr>
        <w:ind w:left="720"/>
        <w:rPr>
          <w:rFonts w:ascii="Arial" w:eastAsia="Arial" w:hAnsi="Arial" w:cs="Arial"/>
        </w:rPr>
      </w:pPr>
      <w:bookmarkStart w:id="20" w:name="_PAR__18_7a6fee53_bf0d_4d34_9abd_9e3c18b"/>
      <w:bookmarkEnd w:id="19"/>
      <w:r>
        <w:rPr>
          <w:rFonts w:ascii="Arial" w:eastAsia="Arial" w:hAnsi="Arial" w:cs="Arial"/>
          <w:u w:val="single"/>
        </w:rPr>
        <w:t>A.  New laws and court decisions;</w:t>
      </w:r>
    </w:p>
    <w:p w:rsidR="007239DA" w:rsidP="007239DA">
      <w:pPr>
        <w:ind w:left="720"/>
        <w:rPr>
          <w:rFonts w:ascii="Arial" w:eastAsia="Arial" w:hAnsi="Arial" w:cs="Arial"/>
        </w:rPr>
      </w:pPr>
      <w:bookmarkStart w:id="21" w:name="_PAGE__2_84eae1eb_1f70_4269_b6da_d7bd97a"/>
      <w:bookmarkStart w:id="22" w:name="_PAR__2_a5cee658_0926_4c7b_a829_bd0652f8"/>
      <w:bookmarkEnd w:id="1"/>
      <w:bookmarkEnd w:id="20"/>
      <w:r>
        <w:rPr>
          <w:rFonts w:ascii="Arial" w:eastAsia="Arial" w:hAnsi="Arial" w:cs="Arial"/>
          <w:u w:val="single"/>
        </w:rPr>
        <w:t>B.  New enforcement practices demonstrated to reduce crime or increase officer safety; and</w:t>
      </w:r>
    </w:p>
    <w:p w:rsidR="007239DA" w:rsidP="007239DA">
      <w:pPr>
        <w:ind w:left="720"/>
        <w:rPr>
          <w:rFonts w:ascii="Arial" w:eastAsia="Arial" w:hAnsi="Arial" w:cs="Arial"/>
        </w:rPr>
      </w:pPr>
      <w:bookmarkStart w:id="23" w:name="_PAR__3_05cabf0a_bc2c_4b9f_bc89_27bebbf0"/>
      <w:bookmarkEnd w:id="22"/>
      <w:r>
        <w:rPr>
          <w:rFonts w:ascii="Arial" w:eastAsia="Arial" w:hAnsi="Arial" w:cs="Arial"/>
          <w:u w:val="single"/>
        </w:rPr>
        <w:t>C.  No later than January 1, 2028, appropriate procedures for responding to a call for assistance for a suspected drug-related overdose. The training must be completed once by any full-time law enforcement officer who has not received training under section 2804-C, subsection 2-H. The training must include information regarding identifying symptoms of a drug-related overdose and a protected person's immunity from arrest for a violation of law pursuant to Title 17-A, section 1111-B. Notwithstanding subsection 5, the training must be developed and provided through collaboration between a statewide advocacy organization specializing in substance use disorder and a tier 1 distributor of naloxone hydrochloride under the Maine naloxone distribution initiative or successor organization. The training must be developed and provided within existing resources. For the purposes of this paragraph, "protected person" has the same meaning as in Title 17-A, section 1111-B, subsection 1, paragraph B.</w:t>
      </w:r>
    </w:p>
    <w:p w:rsidR="007239DA" w:rsidP="007239DA">
      <w:pPr>
        <w:ind w:left="360"/>
        <w:rPr>
          <w:rFonts w:ascii="Arial" w:eastAsia="Arial" w:hAnsi="Arial" w:cs="Arial"/>
        </w:rPr>
      </w:pPr>
      <w:bookmarkStart w:id="24" w:name="_PAR__4_dc3999f7_c779_4fd6_9145_48367dbf"/>
      <w:bookmarkEnd w:id="23"/>
      <w:r>
        <w:rPr>
          <w:rFonts w:ascii="Arial" w:eastAsia="Arial" w:hAnsi="Arial" w:cs="Arial"/>
          <w:u w:val="single"/>
        </w:rPr>
        <w:t>The board shall consider and encourage the use of telecommunications technology in the development and delivery of in-service training programs. In establishing the recertification training requirements, the board shall cooperate with the state and local departments and agencies to which the in-service requirements apply to ensure that the standards are appropriate. In-service training may not be applied to satisfy in-service recertification training requirements unless it is approved by the board.</w:t>
      </w:r>
    </w:p>
    <w:p w:rsidR="007239DA" w:rsidP="007239DA">
      <w:pPr>
        <w:ind w:left="360" w:firstLine="360"/>
        <w:rPr>
          <w:rFonts w:ascii="Arial" w:eastAsia="Arial" w:hAnsi="Arial" w:cs="Arial"/>
        </w:rPr>
      </w:pPr>
      <w:bookmarkStart w:id="25" w:name="_PAR__5_5bd5ffff_35ae_4631_a0f2_34b931a6"/>
      <w:bookmarkEnd w:id="24"/>
      <w:r>
        <w:rPr>
          <w:rFonts w:ascii="Arial" w:eastAsia="Arial" w:hAnsi="Arial" w:cs="Arial"/>
          <w:b/>
          <w:sz w:val="24"/>
        </w:rPr>
        <w:t>Sec. 3.  25 MRSA §2804-E, sub-§5,</w:t>
      </w:r>
      <w:r>
        <w:rPr>
          <w:rFonts w:ascii="Arial" w:eastAsia="Arial" w:hAnsi="Arial" w:cs="Arial"/>
        </w:rPr>
        <w:t xml:space="preserve"> as enacted by PL 2013, c. 147, §34, is amended to read:</w:t>
      </w:r>
    </w:p>
    <w:p w:rsidR="007239DA" w:rsidP="007239DA">
      <w:pPr>
        <w:ind w:left="360" w:firstLine="360"/>
        <w:rPr>
          <w:rFonts w:ascii="Arial" w:eastAsia="Arial" w:hAnsi="Arial" w:cs="Arial"/>
        </w:rPr>
      </w:pPr>
      <w:bookmarkStart w:id="26" w:name="_PAR__6_27d3a95d_05d0_4345_a2f4_9920377f"/>
      <w:bookmarkEnd w:id="25"/>
      <w:r>
        <w:rPr>
          <w:rFonts w:ascii="Arial" w:eastAsia="Arial" w:hAnsi="Arial" w:cs="Arial"/>
          <w:b/>
        </w:rPr>
        <w:t xml:space="preserve">5.  Provision of in-service training. </w:t>
      </w:r>
      <w:r>
        <w:rPr>
          <w:rFonts w:ascii="Arial" w:eastAsia="Arial" w:hAnsi="Arial" w:cs="Arial"/>
        </w:rPr>
        <w:t xml:space="preserve"> </w:t>
      </w:r>
      <w:r>
        <w:rPr>
          <w:rFonts w:ascii="Arial" w:eastAsia="Arial" w:hAnsi="Arial" w:cs="Arial"/>
          <w:strike/>
        </w:rPr>
        <w:t>In-service</w:t>
      </w:r>
      <w:r>
        <w:rPr>
          <w:rFonts w:ascii="Arial" w:eastAsia="Arial" w:hAnsi="Arial" w:cs="Arial"/>
        </w:rPr>
        <w:t xml:space="preserve"> </w:t>
      </w:r>
      <w:r>
        <w:rPr>
          <w:rFonts w:ascii="Arial" w:eastAsia="Arial" w:hAnsi="Arial" w:cs="Arial"/>
          <w:u w:val="single"/>
        </w:rPr>
        <w:t>Unless otherwise provided in this section, in-service</w:t>
      </w:r>
      <w:r>
        <w:rPr>
          <w:rFonts w:ascii="Arial" w:eastAsia="Arial" w:hAnsi="Arial" w:cs="Arial"/>
        </w:rPr>
        <w:t xml:space="preserve"> training programs that meet the requirements established under subsection 2 or other in-service training programs may be provided by the Maine Criminal Justice Academy or the agency employing the law enforcement officer.'</w:t>
      </w:r>
    </w:p>
    <w:p w:rsidR="007239DA" w:rsidP="007239DA">
      <w:pPr>
        <w:ind w:left="360" w:firstLine="360"/>
        <w:rPr>
          <w:rFonts w:ascii="Arial" w:eastAsia="Arial" w:hAnsi="Arial" w:cs="Arial"/>
        </w:rPr>
      </w:pPr>
      <w:bookmarkStart w:id="27" w:name="_INSTRUCTION__f344aa2c_e1aa_44c2_a465_30"/>
      <w:bookmarkStart w:id="28" w:name="_PAR__7_9d213328_48c6_4afc_a786_46f7634e"/>
      <w:bookmarkEnd w:id="14"/>
      <w:bookmarkEnd w:id="26"/>
      <w:r>
        <w:rPr>
          <w:rFonts w:ascii="Arial" w:eastAsia="Arial" w:hAnsi="Arial" w:cs="Arial"/>
        </w:rPr>
        <w:t>Amend the bill by relettering or renumbering any nonconsecutive Part letter or section number to read consecutively.</w:t>
      </w:r>
    </w:p>
    <w:p w:rsidR="007239DA" w:rsidP="007239DA">
      <w:pPr>
        <w:keepNext/>
        <w:spacing w:before="240"/>
        <w:ind w:left="360"/>
        <w:jc w:val="center"/>
        <w:rPr>
          <w:rFonts w:ascii="Arial" w:eastAsia="Arial" w:hAnsi="Arial" w:cs="Arial"/>
        </w:rPr>
      </w:pPr>
      <w:bookmarkStart w:id="29" w:name="_SUMMARY__9e7b716f_0a94_4243_92ab_256078"/>
      <w:bookmarkStart w:id="30" w:name="_PAR__8_00a139ef_6f97_4b66_aad8_0679585d"/>
      <w:bookmarkEnd w:id="27"/>
      <w:bookmarkEnd w:id="28"/>
      <w:r>
        <w:rPr>
          <w:rFonts w:ascii="Arial" w:eastAsia="Arial" w:hAnsi="Arial" w:cs="Arial"/>
          <w:b/>
          <w:sz w:val="24"/>
        </w:rPr>
        <w:t>SUMMARY</w:t>
      </w:r>
    </w:p>
    <w:p w:rsidR="007239DA" w:rsidP="007239DA">
      <w:pPr>
        <w:ind w:left="360" w:firstLine="360"/>
        <w:rPr>
          <w:rFonts w:ascii="Arial" w:eastAsia="Arial" w:hAnsi="Arial" w:cs="Arial"/>
        </w:rPr>
      </w:pPr>
      <w:bookmarkStart w:id="31" w:name="_PAR__9_d925e918_c4eb_439a_93ed_5bfb996f"/>
      <w:bookmarkEnd w:id="30"/>
      <w:r>
        <w:rPr>
          <w:rFonts w:ascii="Arial" w:eastAsia="Arial" w:hAnsi="Arial" w:cs="Arial"/>
        </w:rPr>
        <w:t xml:space="preserve">This amendment replaces the bill and changes the title. The amendment requires that, no later than January 1, 2028, the Board of Trustees of the Maine Criminal Justice Academy include in the academy's basic law enforcement training program a block of instruction for law enforcement officers on appropriate procedures for responding to a call for assistance for a suspected drug-related overdose. The training must include information regarding identifying symptoms of a drug-related overdose and a protected person's immunity from arrest for a violation of law pursuant to the Maine Revised Statutes, Title 17-A, section 1111-B. The training must be developed and provided within existing resources and through collaboration between a statewide advocacy organization specializing in substance use disorder and a tier 1 distributor of naloxone hydrochloride under the Maine naloxone distribution initiative or successor organization. </w:t>
      </w:r>
    </w:p>
    <w:p w:rsidR="007239DA" w:rsidP="007239DA">
      <w:pPr>
        <w:keepNext/>
        <w:ind w:left="360" w:firstLine="360"/>
        <w:rPr>
          <w:rFonts w:ascii="Arial" w:eastAsia="Arial" w:hAnsi="Arial" w:cs="Arial"/>
        </w:rPr>
      </w:pPr>
      <w:bookmarkStart w:id="32" w:name="_PAR__10_560e7d69_3b50_4e2f_b0e7_c0ac0b0"/>
      <w:bookmarkEnd w:id="31"/>
      <w:r>
        <w:rPr>
          <w:rFonts w:ascii="Arial" w:eastAsia="Arial" w:hAnsi="Arial" w:cs="Arial"/>
        </w:rPr>
        <w:t xml:space="preserve">The amendment also requires that by January 1, 2028, full-time law enforcement officers who have not received training on the State's so-called Good Samaritan laws </w:t>
      </w:r>
      <w:bookmarkStart w:id="33" w:name="_PAGE_SPLIT__65988a1d_69cd_41ae_8d09_310"/>
      <w:bookmarkStart w:id="34" w:name="_PAGE__3_492ee8f2_db24_42a7_a452_543213c"/>
      <w:bookmarkStart w:id="35" w:name="_PAR__2_a219ffb3_4056_414f_b184_fa8ff86f"/>
      <w:bookmarkEnd w:id="21"/>
      <w:bookmarkEnd w:id="32"/>
      <w:r>
        <w:rPr>
          <w:rFonts w:ascii="Arial" w:eastAsia="Arial" w:hAnsi="Arial" w:cs="Arial"/>
        </w:rPr>
        <w:t>t</w:t>
      </w:r>
      <w:bookmarkEnd w:id="33"/>
      <w:r>
        <w:rPr>
          <w:rFonts w:ascii="Arial" w:eastAsia="Arial" w:hAnsi="Arial" w:cs="Arial"/>
        </w:rPr>
        <w:t>hrough the basic law enforcement training program receive similar one-time training through in-service law enforcement training.</w:t>
      </w:r>
    </w:p>
    <w:p w:rsidR="007239DA" w:rsidP="007239DA">
      <w:pPr>
        <w:keepNext/>
        <w:spacing w:before="60" w:after="60"/>
        <w:ind w:left="360"/>
        <w:jc w:val="center"/>
        <w:rPr>
          <w:rFonts w:ascii="Arial" w:eastAsia="Arial" w:hAnsi="Arial" w:cs="Arial"/>
        </w:rPr>
      </w:pPr>
      <w:bookmarkStart w:id="36" w:name="_FISCAL_NOTE_REQUIRED__8e49cf28_1a0f_478"/>
      <w:bookmarkStart w:id="37" w:name="_PAR__3_7e3bd9ff_f811_4dac_8200_c1c336d1"/>
      <w:bookmarkEnd w:id="35"/>
      <w:r>
        <w:rPr>
          <w:rFonts w:ascii="Arial" w:eastAsia="Arial" w:hAnsi="Arial" w:cs="Arial"/>
          <w:b/>
        </w:rPr>
        <w:t>FISCAL NOTE REQUIRED</w:t>
      </w:r>
    </w:p>
    <w:p w:rsidR="00000000" w:rsidRPr="007239DA" w:rsidP="007239DA">
      <w:pPr>
        <w:spacing w:before="60" w:after="60"/>
        <w:ind w:left="360"/>
        <w:jc w:val="center"/>
        <w:rPr>
          <w:rFonts w:ascii="Arial" w:eastAsia="Arial" w:hAnsi="Arial" w:cs="Arial"/>
          <w:b/>
        </w:rPr>
      </w:pPr>
      <w:bookmarkStart w:id="38" w:name="_PAR__4_01776ef9_64bb_4e10_8bb3_da764dd9"/>
      <w:bookmarkEnd w:id="37"/>
      <w:r>
        <w:rPr>
          <w:rFonts w:ascii="Arial" w:eastAsia="Arial" w:hAnsi="Arial" w:cs="Arial"/>
          <w:b/>
        </w:rPr>
        <w:t>(See attached)</w:t>
      </w:r>
      <w:bookmarkEnd w:id="29"/>
      <w:bookmarkEnd w:id="34"/>
      <w:bookmarkEnd w:id="36"/>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LR2430,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the Maine Criminal Justice Academy to Establish Training Requirements for Law Enforcement Officers Regarding the State's Good Samaritan Laws</w:t>
    </w:r>
  </w:p>
  <w:p>
    <w:pPr>
      <w:suppressLineNumbers/>
      <w:spacing w:before="0" w:after="0"/>
      <w:jc w:val="center"/>
      <w:rPr>
        <w:rFonts w:ascii="Arial" w:eastAsia="Arial" w:hAnsi="Arial" w:cs="Arial"/>
      </w:rPr>
    </w:pPr>
    <w:r>
      <w:rPr>
        <w:rFonts w:ascii="Arial" w:eastAsia="Arial" w:hAnsi="Arial" w:cs="Arial"/>
        <w:sz w:val="22"/>
      </w:rPr>
      <w:t>L.D. 1646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39D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