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Inclusion of Racial and Other Demographic Data from State Agencies in the Legislative Process</w:t>
      </w:r>
    </w:p>
    <w:p w:rsidR="0078397A" w:rsidP="0078397A">
      <w:pPr>
        <w:spacing w:after="240"/>
        <w:ind w:left="360"/>
        <w:jc w:val="right"/>
        <w:rPr>
          <w:rFonts w:ascii="Arial" w:eastAsia="Arial" w:hAnsi="Arial" w:cs="Arial"/>
          <w:caps/>
        </w:rPr>
      </w:pPr>
      <w:bookmarkStart w:id="0" w:name="_AMEND_TITLE__f2f1a413_32ba_4db7_abf1_c7"/>
      <w:bookmarkStart w:id="1" w:name="_PAGE__1_f0b3e665_93b5_4d38_96f5_2f64e3f"/>
      <w:bookmarkStart w:id="2" w:name="_PAR__2_143ca016_273b_47a2_bf90_00018fb5"/>
      <w:r>
        <w:rPr>
          <w:rFonts w:ascii="Arial" w:eastAsia="Arial" w:hAnsi="Arial" w:cs="Arial"/>
          <w:caps/>
        </w:rPr>
        <w:t>L.D. 590</w:t>
      </w:r>
    </w:p>
    <w:p w:rsidR="0078397A" w:rsidP="0078397A">
      <w:pPr>
        <w:tabs>
          <w:tab w:val="right" w:pos="8928"/>
        </w:tabs>
        <w:spacing w:after="360"/>
        <w:ind w:left="360"/>
        <w:rPr>
          <w:rFonts w:ascii="Arial" w:eastAsia="Arial" w:hAnsi="Arial" w:cs="Arial"/>
        </w:rPr>
      </w:pPr>
      <w:bookmarkStart w:id="3" w:name="_PAR__3_bb67e17a_a939_4a01_bd65_5745df50"/>
      <w:bookmarkEnd w:id="2"/>
      <w:r>
        <w:rPr>
          <w:rFonts w:ascii="Arial" w:eastAsia="Arial" w:hAnsi="Arial" w:cs="Arial"/>
        </w:rPr>
        <w:t>Date:</w:t>
      </w:r>
      <w:r>
        <w:rPr>
          <w:rFonts w:ascii="Arial" w:eastAsia="Arial" w:hAnsi="Arial" w:cs="Arial"/>
        </w:rPr>
        <w:tab/>
        <w:t>(Filing No. S-         )</w:t>
      </w:r>
    </w:p>
    <w:p w:rsidR="0078397A" w:rsidP="0078397A">
      <w:pPr>
        <w:spacing w:before="600" w:after="300"/>
        <w:ind w:left="360"/>
        <w:jc w:val="center"/>
        <w:outlineLvl w:val="0"/>
        <w:rPr>
          <w:rFonts w:ascii="Arial" w:eastAsia="Arial" w:hAnsi="Arial" w:cs="Arial"/>
        </w:rPr>
      </w:pPr>
      <w:bookmarkStart w:id="4" w:name="_PAR__4_f824f3ca_99f9_40c9_94e4_c238285b"/>
      <w:bookmarkEnd w:id="3"/>
      <w:r>
        <w:rPr>
          <w:rFonts w:ascii="Arial" w:eastAsia="Arial" w:hAnsi="Arial" w:cs="Arial"/>
          <w:b/>
          <w:caps/>
          <w:sz w:val="24"/>
          <w:szCs w:val="32"/>
        </w:rPr>
        <w:t xml:space="preserve">State and Local Government </w:t>
      </w:r>
    </w:p>
    <w:p w:rsidR="0078397A" w:rsidP="0078397A">
      <w:pPr>
        <w:spacing w:before="60" w:after="60"/>
        <w:ind w:left="720"/>
        <w:rPr>
          <w:rFonts w:ascii="Arial" w:eastAsia="Arial" w:hAnsi="Arial" w:cs="Arial"/>
        </w:rPr>
      </w:pPr>
      <w:bookmarkStart w:id="5" w:name="_PAR__5_f23be957_642f_4f82_88f9_822a1903"/>
      <w:bookmarkEnd w:id="4"/>
      <w:r>
        <w:rPr>
          <w:rFonts w:ascii="Arial" w:eastAsia="Arial" w:hAnsi="Arial" w:cs="Arial"/>
        </w:rPr>
        <w:t>Reproduced and distributed under the direction of the Secretary of the Senate.</w:t>
      </w:r>
    </w:p>
    <w:p w:rsidR="0078397A" w:rsidP="0078397A">
      <w:pPr>
        <w:spacing w:before="160" w:after="0"/>
        <w:ind w:left="360"/>
        <w:jc w:val="center"/>
        <w:outlineLvl w:val="0"/>
        <w:rPr>
          <w:rFonts w:ascii="Arial" w:eastAsia="Arial" w:hAnsi="Arial" w:cs="Arial"/>
          <w:b/>
          <w:caps/>
          <w:sz w:val="24"/>
          <w:szCs w:val="32"/>
        </w:rPr>
      </w:pPr>
      <w:bookmarkStart w:id="6" w:name="_PAR__6_06c00bf0_ce24_4342_95d3_528d3313"/>
      <w:bookmarkEnd w:id="5"/>
      <w:r>
        <w:rPr>
          <w:rFonts w:ascii="Arial" w:eastAsia="Arial" w:hAnsi="Arial" w:cs="Arial"/>
          <w:b/>
          <w:caps/>
          <w:sz w:val="24"/>
          <w:szCs w:val="32"/>
        </w:rPr>
        <w:t>STATE OF MAINE</w:t>
      </w:r>
    </w:p>
    <w:p w:rsidR="0078397A" w:rsidP="0078397A">
      <w:pPr>
        <w:spacing w:after="0"/>
        <w:ind w:left="360"/>
        <w:jc w:val="center"/>
        <w:outlineLvl w:val="0"/>
        <w:rPr>
          <w:rFonts w:ascii="Arial" w:eastAsia="Arial" w:hAnsi="Arial" w:cs="Arial"/>
          <w:b/>
          <w:caps/>
          <w:sz w:val="24"/>
          <w:szCs w:val="32"/>
        </w:rPr>
      </w:pPr>
      <w:bookmarkStart w:id="7" w:name="_PAR__7_47ae04ad_800d_4006_bf14_95d140e1"/>
      <w:bookmarkEnd w:id="6"/>
      <w:r>
        <w:rPr>
          <w:rFonts w:ascii="Arial" w:eastAsia="Arial" w:hAnsi="Arial" w:cs="Arial"/>
          <w:b/>
          <w:caps/>
          <w:sz w:val="24"/>
          <w:szCs w:val="32"/>
        </w:rPr>
        <w:t>SENATE</w:t>
      </w:r>
    </w:p>
    <w:p w:rsidR="0078397A" w:rsidP="0078397A">
      <w:pPr>
        <w:spacing w:after="0"/>
        <w:ind w:left="360"/>
        <w:jc w:val="center"/>
        <w:outlineLvl w:val="0"/>
        <w:rPr>
          <w:rFonts w:ascii="Arial" w:eastAsia="Arial" w:hAnsi="Arial" w:cs="Arial"/>
          <w:b/>
          <w:caps/>
          <w:sz w:val="24"/>
          <w:szCs w:val="32"/>
        </w:rPr>
      </w:pPr>
      <w:bookmarkStart w:id="8" w:name="_PAR__8_33aa86c6_05f1_4464_860e_4589ac3c"/>
      <w:bookmarkEnd w:id="7"/>
      <w:r>
        <w:rPr>
          <w:rFonts w:ascii="Arial" w:eastAsia="Arial" w:hAnsi="Arial" w:cs="Arial"/>
          <w:b/>
          <w:caps/>
          <w:sz w:val="24"/>
          <w:szCs w:val="32"/>
        </w:rPr>
        <w:t>132nd Legislature</w:t>
      </w:r>
    </w:p>
    <w:p w:rsidR="0078397A" w:rsidP="0078397A">
      <w:pPr>
        <w:spacing w:after="0"/>
        <w:ind w:left="360"/>
        <w:jc w:val="center"/>
        <w:outlineLvl w:val="0"/>
        <w:rPr>
          <w:rFonts w:ascii="Arial" w:eastAsia="Arial" w:hAnsi="Arial" w:cs="Arial"/>
          <w:b/>
          <w:caps/>
          <w:sz w:val="24"/>
          <w:szCs w:val="32"/>
        </w:rPr>
      </w:pPr>
      <w:bookmarkStart w:id="9" w:name="_PAR__9_471d8790_dc1d_4328_96e5_a516c13e"/>
      <w:bookmarkEnd w:id="8"/>
      <w:r>
        <w:rPr>
          <w:rFonts w:ascii="Arial" w:eastAsia="Arial" w:hAnsi="Arial" w:cs="Arial"/>
          <w:b/>
          <w:caps/>
          <w:sz w:val="24"/>
          <w:szCs w:val="32"/>
        </w:rPr>
        <w:t>Second Regular Session</w:t>
      </w:r>
    </w:p>
    <w:p w:rsidR="0078397A" w:rsidP="0078397A">
      <w:pPr>
        <w:spacing w:before="400" w:after="200"/>
        <w:ind w:left="360" w:firstLine="360"/>
        <w:rPr>
          <w:rFonts w:ascii="Arial" w:eastAsia="Arial" w:hAnsi="Arial" w:cs="Arial"/>
        </w:rPr>
      </w:pPr>
      <w:bookmarkStart w:id="10" w:name="_PAR__10_2c64b0f0_47bf_4cbe_a410_2001103"/>
      <w:bookmarkEnd w:id="9"/>
      <w:r>
        <w:rPr>
          <w:rFonts w:ascii="Arial" w:eastAsia="Arial" w:hAnsi="Arial" w:cs="Arial"/>
          <w:szCs w:val="22"/>
        </w:rPr>
        <w:t>COMMITTEE AMENDMENT “      ” to S.P. 274, L.D. 590, “An Act Regarding the Inclusion of Racial and Other Demographic Data from State Agencies in the Legislative Process”</w:t>
      </w:r>
    </w:p>
    <w:p w:rsidR="0078397A" w:rsidP="0078397A">
      <w:pPr>
        <w:ind w:left="360" w:firstLine="360"/>
        <w:rPr>
          <w:rFonts w:ascii="Arial" w:eastAsia="Arial" w:hAnsi="Arial" w:cs="Arial"/>
        </w:rPr>
      </w:pPr>
      <w:bookmarkStart w:id="11" w:name="_INSTRUCTION__16a61858_27f7_4bf8_b8f9_23"/>
      <w:bookmarkStart w:id="12" w:name="_PAR__11_c4e9b18c_28ba_4ca6_ac17_68b8fbe"/>
      <w:bookmarkEnd w:id="0"/>
      <w:bookmarkEnd w:id="10"/>
      <w:r>
        <w:rPr>
          <w:rFonts w:ascii="Arial" w:eastAsia="Arial" w:hAnsi="Arial" w:cs="Arial"/>
        </w:rPr>
        <w:t>Amend the bill by striking out everything after the enacting clause and inserting the following:</w:t>
      </w:r>
    </w:p>
    <w:p w:rsidR="0078397A" w:rsidP="0078397A">
      <w:pPr>
        <w:ind w:left="360" w:firstLine="360"/>
        <w:rPr>
          <w:rFonts w:ascii="Arial" w:eastAsia="Arial" w:hAnsi="Arial" w:cs="Arial"/>
        </w:rPr>
      </w:pPr>
      <w:bookmarkStart w:id="13" w:name="_PAR__12_5c9b383e_116d_4e76_b339_5b9738a"/>
      <w:bookmarkEnd w:id="12"/>
      <w:r>
        <w:rPr>
          <w:rFonts w:ascii="Arial" w:eastAsia="Arial" w:hAnsi="Arial" w:cs="Arial"/>
        </w:rPr>
        <w:t>'</w:t>
      </w:r>
      <w:r>
        <w:rPr>
          <w:rFonts w:ascii="Arial" w:eastAsia="Arial" w:hAnsi="Arial" w:cs="Arial"/>
          <w:b/>
          <w:sz w:val="24"/>
        </w:rPr>
        <w:t>Sec. 1.  3 MRSA §163-A, sub-§7-A</w:t>
      </w:r>
      <w:r>
        <w:rPr>
          <w:rFonts w:ascii="Arial" w:eastAsia="Arial" w:hAnsi="Arial" w:cs="Arial"/>
        </w:rPr>
        <w:t xml:space="preserve"> is enacted to read:</w:t>
      </w:r>
    </w:p>
    <w:p w:rsidR="0078397A" w:rsidP="0078397A">
      <w:pPr>
        <w:ind w:left="360" w:firstLine="360"/>
        <w:rPr>
          <w:rFonts w:ascii="Arial" w:eastAsia="Arial" w:hAnsi="Arial" w:cs="Arial"/>
        </w:rPr>
      </w:pPr>
      <w:bookmarkStart w:id="14" w:name="_PAR__13_38e416bf_f7a5_4a91_ad57_79c7479"/>
      <w:bookmarkEnd w:id="13"/>
      <w:r>
        <w:rPr>
          <w:rFonts w:ascii="Arial" w:eastAsia="Arial" w:hAnsi="Arial" w:cs="Arial"/>
          <w:b/>
          <w:u w:val="single"/>
        </w:rPr>
        <w:t xml:space="preserve">7-A.  Collection and analysis of racial and other demographic data; report. </w:t>
      </w:r>
      <w:r>
        <w:rPr>
          <w:rFonts w:ascii="Arial" w:eastAsia="Arial" w:hAnsi="Arial" w:cs="Arial"/>
          <w:u w:val="single"/>
        </w:rPr>
        <w:t xml:space="preserve"> Upon request of a joint standing or joint select committee of the Legislature, to collect, assemble and analyze racial and other demographic data from state agencies related to legislation under consideration by the joint standing or joint select committee.  Nonpartisan legislative staff shall compile the analyses provided pursuant to this subsection into a single report at the end of each regular or special session and distribute the report to each joint standing or joint select committee at the subsequent regular session of the Legislature.  The report must include the number of requests, each legislative document for which the joint standing or joint select committee requested the data and the disposition of each legislative document;</w:t>
      </w:r>
    </w:p>
    <w:p w:rsidR="0078397A" w:rsidP="0078397A">
      <w:pPr>
        <w:ind w:left="360" w:firstLine="360"/>
        <w:rPr>
          <w:rFonts w:ascii="Arial" w:eastAsia="Arial" w:hAnsi="Arial" w:cs="Arial"/>
        </w:rPr>
      </w:pPr>
      <w:bookmarkStart w:id="15" w:name="_PAR__14_3cc67ecb_1971_40d4_9d34_e42182d"/>
      <w:bookmarkEnd w:id="14"/>
      <w:r>
        <w:rPr>
          <w:rFonts w:ascii="Arial" w:eastAsia="Arial" w:hAnsi="Arial" w:cs="Arial"/>
          <w:b/>
          <w:sz w:val="24"/>
        </w:rPr>
        <w:t>Sec. 2.  Appropriations and allocations.</w:t>
      </w:r>
      <w:r>
        <w:rPr>
          <w:rFonts w:ascii="Arial" w:eastAsia="Arial" w:hAnsi="Arial" w:cs="Arial"/>
        </w:rPr>
        <w:t>  The following appropriations and allocations are made.</w:t>
      </w:r>
    </w:p>
    <w:p w:rsidR="0078397A" w:rsidP="0078397A">
      <w:pPr>
        <w:pStyle w:val="BPSParagraphLeftAlign"/>
        <w:suppressAutoHyphens/>
        <w:ind w:left="360"/>
        <w:rPr>
          <w:rFonts w:ascii="Arial" w:eastAsia="Arial" w:hAnsi="Arial" w:cs="Arial"/>
        </w:rPr>
      </w:pPr>
      <w:bookmarkStart w:id="16" w:name="_PAR__15_f55db35c_d99e_4b4f_abbb_b2f36d0"/>
      <w:bookmarkEnd w:id="15"/>
      <w:r>
        <w:rPr>
          <w:rFonts w:ascii="Arial" w:eastAsia="Arial" w:hAnsi="Arial" w:cs="Arial"/>
          <w:b/>
        </w:rPr>
        <w:t>LEGISLATURE</w:t>
      </w:r>
    </w:p>
    <w:p w:rsidR="0078397A" w:rsidP="0078397A">
      <w:pPr>
        <w:pStyle w:val="BPSParagraphLeftAlign"/>
        <w:suppressAutoHyphens/>
        <w:ind w:left="360"/>
        <w:rPr>
          <w:rFonts w:ascii="Arial" w:eastAsia="Arial" w:hAnsi="Arial" w:cs="Arial"/>
        </w:rPr>
      </w:pPr>
      <w:bookmarkStart w:id="17" w:name="_PAR__16_5b0e05f7_47e7_4de9_b11e_318316f"/>
      <w:bookmarkEnd w:id="16"/>
      <w:r>
        <w:rPr>
          <w:rFonts w:ascii="Arial" w:eastAsia="Arial" w:hAnsi="Arial" w:cs="Arial"/>
          <w:b/>
        </w:rPr>
        <w:t>Legislature 0081</w:t>
      </w:r>
    </w:p>
    <w:p w:rsidR="0078397A" w:rsidP="0078397A">
      <w:pPr>
        <w:ind w:left="360"/>
        <w:rPr>
          <w:rFonts w:ascii="Arial" w:eastAsia="Arial" w:hAnsi="Arial" w:cs="Arial"/>
        </w:rPr>
      </w:pPr>
      <w:bookmarkStart w:id="18" w:name="_PAR__17_4191f99b_d0ed_4985_ab2c_ada5ea5"/>
      <w:bookmarkEnd w:id="17"/>
      <w:r>
        <w:rPr>
          <w:rFonts w:ascii="Arial" w:eastAsia="Arial" w:hAnsi="Arial" w:cs="Arial"/>
        </w:rPr>
        <w:t>Initiative: Establishes and appropriates funds for one limited-period Legislative Analyst position and related All Other costs in the Office of Policy and Legal Analysis to support the work of the office, including half-time during session, collecting, assembling and analyzing racial and other demographic data from state agencies related to legislation. This position ends June 19, 2027.</w:t>
      </w:r>
    </w:p>
    <w:tbl>
      <w:tblPr>
        <w:tblStyle w:val="BPSTable"/>
        <w:tblW w:w="0" w:type="auto"/>
        <w:tblInd w:w="360" w:type="dxa"/>
        <w:tblCellMar>
          <w:left w:w="0" w:type="dxa"/>
          <w:right w:w="0" w:type="dxa"/>
        </w:tblCellMar>
        <w:tblLook w:val="04A0"/>
      </w:tblPr>
      <w:tblGrid>
        <w:gridCol w:w="5009"/>
        <w:gridCol w:w="1463"/>
        <w:gridCol w:w="1463"/>
      </w:tblGrid>
      <w:tr w:rsidTr="00A416DE">
        <w:tblPrEx>
          <w:tblW w:w="0" w:type="auto"/>
          <w:tblInd w:w="360" w:type="dxa"/>
          <w:tblCellMar>
            <w:left w:w="0" w:type="dxa"/>
            <w:right w:w="0" w:type="dxa"/>
          </w:tblCellMar>
          <w:tblLook w:val="04A0"/>
        </w:tblPrEx>
        <w:tc>
          <w:tcPr>
            <w:tcW w:w="5069" w:type="dxa"/>
          </w:tcPr>
          <w:p w:rsidR="0078397A" w:rsidP="00A416DE">
            <w:pPr>
              <w:spacing w:before="0" w:after="0"/>
              <w:rPr>
                <w:rFonts w:ascii="Arial" w:eastAsia="Arial" w:hAnsi="Arial" w:cs="Arial"/>
              </w:rPr>
            </w:pPr>
            <w:bookmarkStart w:id="19" w:name="_PAR__18_c2e4e2d7_19c5_4423_9c5d_6dc779e"/>
            <w:bookmarkStart w:id="20" w:name="_LINE__33_1126848a_8d91_44af_94d8_39ab6f"/>
            <w:bookmarkEnd w:id="18"/>
            <w:r>
              <w:rPr>
                <w:rFonts w:ascii="Arial" w:eastAsia="Arial" w:hAnsi="Arial" w:cs="Arial"/>
                <w:b/>
              </w:rPr>
              <w:t>GENERAL FUND</w:t>
            </w:r>
            <w:bookmarkEnd w:id="20"/>
          </w:p>
        </w:tc>
        <w:tc>
          <w:tcPr>
            <w:tcW w:w="1469" w:type="dxa"/>
          </w:tcPr>
          <w:p w:rsidR="0078397A" w:rsidP="00A416DE">
            <w:pPr>
              <w:spacing w:before="0" w:after="0"/>
              <w:jc w:val="right"/>
              <w:rPr>
                <w:rFonts w:ascii="Arial" w:eastAsia="Arial" w:hAnsi="Arial" w:cs="Arial"/>
              </w:rPr>
            </w:pPr>
            <w:bookmarkStart w:id="21" w:name="_LINE__33_43c416e6_62b4_447f_90b9_fe52e1"/>
            <w:r>
              <w:rPr>
                <w:rFonts w:ascii="Arial" w:eastAsia="Arial" w:hAnsi="Arial" w:cs="Arial"/>
                <w:b/>
              </w:rPr>
              <w:t>2025-26</w:t>
            </w:r>
            <w:bookmarkEnd w:id="21"/>
          </w:p>
        </w:tc>
        <w:tc>
          <w:tcPr>
            <w:tcW w:w="1469" w:type="dxa"/>
          </w:tcPr>
          <w:p w:rsidR="0078397A" w:rsidP="00A416DE">
            <w:pPr>
              <w:spacing w:before="0" w:after="0"/>
              <w:jc w:val="right"/>
              <w:rPr>
                <w:rFonts w:ascii="Arial" w:eastAsia="Arial" w:hAnsi="Arial" w:cs="Arial"/>
              </w:rPr>
            </w:pPr>
            <w:bookmarkStart w:id="22" w:name="_LINE__33_6ccc4a87_8e48_44d1_be68_dcf9da"/>
            <w:r>
              <w:rPr>
                <w:rFonts w:ascii="Arial" w:eastAsia="Arial" w:hAnsi="Arial" w:cs="Arial"/>
                <w:b/>
              </w:rPr>
              <w:t>2026-27</w:t>
            </w:r>
            <w:bookmarkEnd w:id="22"/>
          </w:p>
        </w:tc>
      </w:tr>
      <w:tr w:rsidTr="00A416DE">
        <w:tblPrEx>
          <w:tblW w:w="0" w:type="auto"/>
          <w:tblInd w:w="360" w:type="dxa"/>
          <w:tblCellMar>
            <w:left w:w="0" w:type="dxa"/>
            <w:right w:w="0" w:type="dxa"/>
          </w:tblCellMar>
          <w:tblLook w:val="04A0"/>
        </w:tblPrEx>
        <w:tc>
          <w:tcPr>
            <w:tcW w:w="5069" w:type="dxa"/>
          </w:tcPr>
          <w:p w:rsidR="0078397A" w:rsidP="00A416DE">
            <w:pPr>
              <w:spacing w:before="0" w:after="0"/>
              <w:ind w:left="180"/>
              <w:rPr>
                <w:rFonts w:ascii="Arial" w:eastAsia="Arial" w:hAnsi="Arial" w:cs="Arial"/>
              </w:rPr>
            </w:pPr>
            <w:bookmarkStart w:id="23" w:name="_LINE__34_fb392260_028b_4f12_8ca7_163b05"/>
            <w:r>
              <w:rPr>
                <w:rFonts w:ascii="Arial" w:eastAsia="Arial" w:hAnsi="Arial" w:cs="Arial"/>
              </w:rPr>
              <w:t>Personal Services</w:t>
            </w:r>
            <w:bookmarkEnd w:id="23"/>
          </w:p>
        </w:tc>
        <w:tc>
          <w:tcPr>
            <w:tcW w:w="1469" w:type="dxa"/>
          </w:tcPr>
          <w:p w:rsidR="0078397A" w:rsidP="00A416DE">
            <w:pPr>
              <w:spacing w:before="0" w:after="0"/>
              <w:jc w:val="right"/>
              <w:rPr>
                <w:rFonts w:ascii="Arial" w:eastAsia="Arial" w:hAnsi="Arial" w:cs="Arial"/>
              </w:rPr>
            </w:pPr>
            <w:bookmarkStart w:id="24" w:name="_LINE__34_2c535ecc_de58_4fe8_ade7_225075"/>
            <w:r>
              <w:rPr>
                <w:rFonts w:ascii="Arial" w:eastAsia="Arial" w:hAnsi="Arial" w:cs="Arial"/>
              </w:rPr>
              <w:t>$0</w:t>
            </w:r>
            <w:bookmarkEnd w:id="24"/>
          </w:p>
        </w:tc>
        <w:tc>
          <w:tcPr>
            <w:tcW w:w="1469" w:type="dxa"/>
          </w:tcPr>
          <w:p w:rsidR="0078397A" w:rsidP="00A416DE">
            <w:pPr>
              <w:spacing w:before="0" w:after="0"/>
              <w:jc w:val="right"/>
              <w:rPr>
                <w:rFonts w:ascii="Arial" w:eastAsia="Arial" w:hAnsi="Arial" w:cs="Arial"/>
              </w:rPr>
            </w:pPr>
            <w:bookmarkStart w:id="25" w:name="_LINE__34_ae584ed5_3a75_4146_9712_37b333"/>
            <w:r>
              <w:rPr>
                <w:rFonts w:ascii="Arial" w:eastAsia="Arial" w:hAnsi="Arial" w:cs="Arial"/>
              </w:rPr>
              <w:t>$136,940</w:t>
            </w:r>
            <w:bookmarkEnd w:id="25"/>
          </w:p>
        </w:tc>
      </w:tr>
      <w:tr w:rsidTr="00A416DE">
        <w:tblPrEx>
          <w:tblW w:w="0" w:type="auto"/>
          <w:tblInd w:w="360" w:type="dxa"/>
          <w:tblCellMar>
            <w:left w:w="0" w:type="dxa"/>
            <w:right w:w="0" w:type="dxa"/>
          </w:tblCellMar>
          <w:tblLook w:val="04A0"/>
        </w:tblPrEx>
        <w:tc>
          <w:tcPr>
            <w:tcW w:w="5069" w:type="dxa"/>
          </w:tcPr>
          <w:p w:rsidR="0078397A" w:rsidP="00A416DE">
            <w:pPr>
              <w:spacing w:before="0" w:after="0"/>
              <w:ind w:left="180"/>
              <w:rPr>
                <w:rFonts w:ascii="Arial" w:eastAsia="Arial" w:hAnsi="Arial" w:cs="Arial"/>
              </w:rPr>
            </w:pPr>
            <w:bookmarkStart w:id="26" w:name="_LINE__35_fbed4670_7f79_4174_b7a4_c5bd7a"/>
            <w:r>
              <w:rPr>
                <w:rFonts w:ascii="Arial" w:eastAsia="Arial" w:hAnsi="Arial" w:cs="Arial"/>
              </w:rPr>
              <w:t>All Other</w:t>
            </w:r>
            <w:bookmarkEnd w:id="26"/>
          </w:p>
        </w:tc>
        <w:tc>
          <w:tcPr>
            <w:tcW w:w="1469" w:type="dxa"/>
          </w:tcPr>
          <w:p w:rsidR="0078397A" w:rsidP="00A416DE">
            <w:pPr>
              <w:spacing w:before="0" w:after="0"/>
              <w:jc w:val="right"/>
              <w:rPr>
                <w:rFonts w:ascii="Arial" w:eastAsia="Arial" w:hAnsi="Arial" w:cs="Arial"/>
              </w:rPr>
            </w:pPr>
            <w:bookmarkStart w:id="27" w:name="_LINE__35_f4a74392_319b_4882_9e93_4ad419"/>
            <w:r>
              <w:rPr>
                <w:rFonts w:ascii="Arial" w:eastAsia="Arial" w:hAnsi="Arial" w:cs="Arial"/>
              </w:rPr>
              <w:t>$0</w:t>
            </w:r>
            <w:bookmarkEnd w:id="27"/>
          </w:p>
        </w:tc>
        <w:tc>
          <w:tcPr>
            <w:tcW w:w="1469" w:type="dxa"/>
          </w:tcPr>
          <w:p w:rsidR="0078397A" w:rsidP="00A416DE">
            <w:pPr>
              <w:spacing w:before="0" w:after="0"/>
              <w:jc w:val="right"/>
              <w:rPr>
                <w:rFonts w:ascii="Arial" w:eastAsia="Arial" w:hAnsi="Arial" w:cs="Arial"/>
              </w:rPr>
            </w:pPr>
            <w:bookmarkStart w:id="28" w:name="_LINE__35_a00d918d_fbda_4335_9659_bdaf05"/>
            <w:r>
              <w:rPr>
                <w:rFonts w:ascii="Arial" w:eastAsia="Arial" w:hAnsi="Arial" w:cs="Arial"/>
              </w:rPr>
              <w:t>$7,500</w:t>
            </w:r>
            <w:bookmarkEnd w:id="28"/>
          </w:p>
        </w:tc>
      </w:tr>
      <w:tr w:rsidTr="00A416DE">
        <w:tblPrEx>
          <w:tblW w:w="0" w:type="auto"/>
          <w:tblInd w:w="360" w:type="dxa"/>
          <w:tblCellMar>
            <w:left w:w="0" w:type="dxa"/>
            <w:right w:w="0" w:type="dxa"/>
          </w:tblCellMar>
          <w:tblLook w:val="04A0"/>
        </w:tblPrEx>
        <w:tc>
          <w:tcPr>
            <w:tcW w:w="5069" w:type="dxa"/>
          </w:tcPr>
          <w:p w:rsidR="0078397A" w:rsidP="00A416DE">
            <w:pPr>
              <w:spacing w:before="0" w:after="0"/>
              <w:rPr>
                <w:rFonts w:ascii="Arial" w:eastAsia="Arial" w:hAnsi="Arial" w:cs="Arial"/>
              </w:rPr>
            </w:pPr>
            <w:bookmarkStart w:id="29" w:name="_PAGE__2_ea63d19a_1807_4eb1_be58_21caa36"/>
            <w:bookmarkStart w:id="30" w:name="_PAR__2_fa428143_bd0f_4cd2_bee6_34e94b18"/>
            <w:bookmarkStart w:id="31" w:name="_LINE__1_03d0c35e_36b6_41b3_bfa1_362572e"/>
            <w:bookmarkEnd w:id="1"/>
            <w:bookmarkEnd w:id="19"/>
            <w:r>
              <w:rPr>
                <w:rFonts w:ascii="Arial" w:eastAsia="Arial" w:hAnsi="Arial" w:cs="Arial"/>
              </w:rPr>
              <w:t xml:space="preserve"> </w:t>
            </w:r>
            <w:bookmarkEnd w:id="31"/>
          </w:p>
        </w:tc>
        <w:tc>
          <w:tcPr>
            <w:tcW w:w="1469" w:type="dxa"/>
          </w:tcPr>
          <w:p w:rsidR="0078397A" w:rsidP="00A416DE">
            <w:pPr>
              <w:spacing w:before="0" w:after="0"/>
              <w:jc w:val="right"/>
              <w:rPr>
                <w:rFonts w:ascii="Arial" w:eastAsia="Arial" w:hAnsi="Arial" w:cs="Arial"/>
              </w:rPr>
            </w:pPr>
            <w:bookmarkStart w:id="32" w:name="_LINE__1_9ed77236_13a9_493a_8d28_79439f0"/>
            <w:r>
              <w:rPr>
                <w:rFonts w:ascii="Arial" w:eastAsia="Arial" w:hAnsi="Arial" w:cs="Arial"/>
              </w:rPr>
              <w:t>__________</w:t>
            </w:r>
            <w:bookmarkEnd w:id="32"/>
          </w:p>
        </w:tc>
        <w:tc>
          <w:tcPr>
            <w:tcW w:w="1469" w:type="dxa"/>
          </w:tcPr>
          <w:p w:rsidR="0078397A" w:rsidP="00A416DE">
            <w:pPr>
              <w:spacing w:before="0" w:after="0"/>
              <w:jc w:val="right"/>
              <w:rPr>
                <w:rFonts w:ascii="Arial" w:eastAsia="Arial" w:hAnsi="Arial" w:cs="Arial"/>
              </w:rPr>
            </w:pPr>
            <w:bookmarkStart w:id="33" w:name="_LINE__1_8d337070_1e8e_4943_a269_95e93d6"/>
            <w:r>
              <w:rPr>
                <w:rFonts w:ascii="Arial" w:eastAsia="Arial" w:hAnsi="Arial" w:cs="Arial"/>
              </w:rPr>
              <w:t>__________</w:t>
            </w:r>
            <w:bookmarkEnd w:id="33"/>
          </w:p>
        </w:tc>
      </w:tr>
      <w:tr w:rsidTr="00A416DE">
        <w:tblPrEx>
          <w:tblW w:w="0" w:type="auto"/>
          <w:tblInd w:w="360" w:type="dxa"/>
          <w:tblCellMar>
            <w:left w:w="0" w:type="dxa"/>
            <w:right w:w="0" w:type="dxa"/>
          </w:tblCellMar>
          <w:tblLook w:val="04A0"/>
        </w:tblPrEx>
        <w:tc>
          <w:tcPr>
            <w:tcW w:w="5069" w:type="dxa"/>
          </w:tcPr>
          <w:p w:rsidR="0078397A" w:rsidP="00A416DE">
            <w:pPr>
              <w:spacing w:before="0" w:after="0"/>
              <w:rPr>
                <w:rFonts w:ascii="Arial" w:eastAsia="Arial" w:hAnsi="Arial" w:cs="Arial"/>
              </w:rPr>
            </w:pPr>
            <w:bookmarkStart w:id="34" w:name="_LINE__2_c07faefa_57d2_4ee7_8421_d0d6f6c"/>
            <w:r>
              <w:rPr>
                <w:rFonts w:ascii="Arial" w:eastAsia="Arial" w:hAnsi="Arial" w:cs="Arial"/>
              </w:rPr>
              <w:t>GENERAL FUND TOTAL</w:t>
            </w:r>
            <w:bookmarkEnd w:id="34"/>
          </w:p>
        </w:tc>
        <w:tc>
          <w:tcPr>
            <w:tcW w:w="1469" w:type="dxa"/>
          </w:tcPr>
          <w:p w:rsidR="0078397A" w:rsidP="00A416DE">
            <w:pPr>
              <w:spacing w:before="0" w:after="0"/>
              <w:jc w:val="right"/>
              <w:rPr>
                <w:rFonts w:ascii="Arial" w:eastAsia="Arial" w:hAnsi="Arial" w:cs="Arial"/>
              </w:rPr>
            </w:pPr>
            <w:bookmarkStart w:id="35" w:name="_LINE__2_d3a45c7e_10f5_409d_9b05_3d43b60"/>
            <w:r>
              <w:rPr>
                <w:rFonts w:ascii="Arial" w:eastAsia="Arial" w:hAnsi="Arial" w:cs="Arial"/>
              </w:rPr>
              <w:t>$0</w:t>
            </w:r>
            <w:bookmarkEnd w:id="35"/>
          </w:p>
        </w:tc>
        <w:tc>
          <w:tcPr>
            <w:tcW w:w="1469" w:type="dxa"/>
          </w:tcPr>
          <w:p w:rsidR="0078397A" w:rsidP="00A416DE">
            <w:pPr>
              <w:spacing w:before="0" w:after="0"/>
              <w:jc w:val="right"/>
              <w:rPr>
                <w:rFonts w:ascii="Arial" w:eastAsia="Arial" w:hAnsi="Arial" w:cs="Arial"/>
              </w:rPr>
            </w:pPr>
            <w:bookmarkStart w:id="36" w:name="_LINE__2_40c26b7e_6fc8_48d5_b2a2_29609c1"/>
            <w:r>
              <w:rPr>
                <w:rFonts w:ascii="Arial" w:eastAsia="Arial" w:hAnsi="Arial" w:cs="Arial"/>
              </w:rPr>
              <w:t>$144,440</w:t>
            </w:r>
            <w:bookmarkEnd w:id="36"/>
          </w:p>
        </w:tc>
      </w:tr>
    </w:tbl>
    <w:p w:rsidR="0078397A" w:rsidP="0078397A">
      <w:pPr>
        <w:ind w:left="360"/>
        <w:rPr>
          <w:rFonts w:ascii="Arial" w:eastAsia="Arial" w:hAnsi="Arial" w:cs="Arial"/>
        </w:rPr>
      </w:pPr>
      <w:bookmarkStart w:id="37" w:name="_PAR__3_427c6b6d_02ae_42a9_a8aa_0b5e1a59"/>
      <w:bookmarkEnd w:id="30"/>
      <w:r>
        <w:rPr>
          <w:rFonts w:ascii="Arial" w:eastAsia="Arial" w:hAnsi="Arial" w:cs="Arial"/>
        </w:rPr>
        <w:t>'</w:t>
      </w:r>
    </w:p>
    <w:p w:rsidR="0078397A" w:rsidP="0078397A">
      <w:pPr>
        <w:ind w:left="360" w:firstLine="360"/>
        <w:rPr>
          <w:rFonts w:ascii="Arial" w:eastAsia="Arial" w:hAnsi="Arial" w:cs="Arial"/>
        </w:rPr>
      </w:pPr>
      <w:bookmarkStart w:id="38" w:name="_INSTRUCTION__57476d14_9cfb_40c8_8cd0_75"/>
      <w:bookmarkStart w:id="39" w:name="_PAR__4_fba01330_7929_4e2f_984f_ffa102b7"/>
      <w:bookmarkEnd w:id="11"/>
      <w:bookmarkEnd w:id="37"/>
      <w:r>
        <w:rPr>
          <w:rFonts w:ascii="Arial" w:eastAsia="Arial" w:hAnsi="Arial" w:cs="Arial"/>
        </w:rPr>
        <w:t>Amend the bill by relettering or renumbering any nonconsecutive Part letter or section number to read consecutively.</w:t>
      </w:r>
    </w:p>
    <w:p w:rsidR="0078397A" w:rsidP="0078397A">
      <w:pPr>
        <w:keepNext/>
        <w:spacing w:before="240"/>
        <w:ind w:left="360"/>
        <w:jc w:val="center"/>
        <w:rPr>
          <w:rFonts w:ascii="Arial" w:eastAsia="Arial" w:hAnsi="Arial" w:cs="Arial"/>
        </w:rPr>
      </w:pPr>
      <w:bookmarkStart w:id="40" w:name="_SUMMARY__eef9ed9b_e386_4919_9b2f_baac04"/>
      <w:bookmarkStart w:id="41" w:name="_PAR__5_33792f86_e3e6_451c_9a85_f4d1a188"/>
      <w:bookmarkEnd w:id="38"/>
      <w:bookmarkEnd w:id="39"/>
      <w:r>
        <w:rPr>
          <w:rFonts w:ascii="Arial" w:eastAsia="Arial" w:hAnsi="Arial" w:cs="Arial"/>
          <w:b/>
          <w:sz w:val="24"/>
        </w:rPr>
        <w:t>SUMMARY</w:t>
      </w:r>
    </w:p>
    <w:p w:rsidR="0078397A" w:rsidP="0078397A">
      <w:pPr>
        <w:ind w:left="360" w:firstLine="360"/>
        <w:rPr>
          <w:rFonts w:ascii="Arial" w:eastAsia="Arial" w:hAnsi="Arial" w:cs="Arial"/>
        </w:rPr>
      </w:pPr>
      <w:bookmarkStart w:id="42" w:name="_PAR__6_16b3a75e_91cb_490c_be3f_8f6818e2"/>
      <w:bookmarkEnd w:id="41"/>
      <w:r>
        <w:rPr>
          <w:rFonts w:ascii="Arial" w:eastAsia="Arial" w:hAnsi="Arial" w:cs="Arial"/>
        </w:rPr>
        <w:t>This amendment, which is the majority report of the committee, replaces the bill. The amendment directs nonpartisan legislative staff to collect, assemble and analyze racial and other demographic data provided by state agencies upon the request of a joint standing or joint select committee of the Legislature. The analyses must be compiled into a single report at the end of each regular or special session and the report must be distributed to each joint standing or joint select committee at the subsequent regular session of the Legislature.  The report must include the number of requests, each legislative document for which the joint standing or joint select committee requested the data and the disposition of each legislative document.</w:t>
      </w:r>
    </w:p>
    <w:p w:rsidR="0078397A" w:rsidP="0078397A">
      <w:pPr>
        <w:keepNext/>
        <w:ind w:left="360" w:firstLine="360"/>
        <w:rPr>
          <w:rFonts w:ascii="Arial" w:eastAsia="Arial" w:hAnsi="Arial" w:cs="Arial"/>
        </w:rPr>
      </w:pPr>
      <w:bookmarkStart w:id="43" w:name="_PAR__7_00515eca_4e12_41fb_8cff_b6cb4a74"/>
      <w:bookmarkEnd w:id="42"/>
      <w:r>
        <w:rPr>
          <w:rFonts w:ascii="Arial" w:eastAsia="Arial" w:hAnsi="Arial" w:cs="Arial"/>
        </w:rPr>
        <w:t>The amendment also includes an appropriations and allocations section to establish one limited-period Legislative Analyst position in the Office of Policy and Legal Analysis to support the work of the office, including half-time during session, collecting, assembling and analyzing racial and other demographic data from state agencies related to legislation.</w:t>
      </w:r>
    </w:p>
    <w:p w:rsidR="0078397A" w:rsidP="0078397A">
      <w:pPr>
        <w:keepNext/>
        <w:spacing w:before="60" w:after="60"/>
        <w:ind w:left="360"/>
        <w:jc w:val="center"/>
        <w:rPr>
          <w:rFonts w:ascii="Arial" w:eastAsia="Arial" w:hAnsi="Arial" w:cs="Arial"/>
        </w:rPr>
      </w:pPr>
      <w:bookmarkStart w:id="44" w:name="_FISCAL_NOTE_REQUIRED__bc03c24d_a35d_4da"/>
      <w:bookmarkStart w:id="45" w:name="_PAR__8_59c7fedc_188a_4a3d_a62a_aa5738bf"/>
      <w:bookmarkEnd w:id="43"/>
      <w:r>
        <w:rPr>
          <w:rFonts w:ascii="Arial" w:eastAsia="Arial" w:hAnsi="Arial" w:cs="Arial"/>
          <w:b/>
        </w:rPr>
        <w:t>FISCAL NOTE REQUIRED</w:t>
      </w:r>
    </w:p>
    <w:p w:rsidR="00000000" w:rsidRPr="0078397A" w:rsidP="0078397A">
      <w:pPr>
        <w:spacing w:before="60" w:after="60"/>
        <w:ind w:left="360"/>
        <w:jc w:val="center"/>
        <w:rPr>
          <w:rFonts w:ascii="Arial" w:eastAsia="Arial" w:hAnsi="Arial" w:cs="Arial"/>
          <w:b/>
        </w:rPr>
      </w:pPr>
      <w:bookmarkStart w:id="46" w:name="_PAR__9_049234e3_f406_42e1_8404_1372d7da"/>
      <w:bookmarkEnd w:id="45"/>
      <w:r>
        <w:rPr>
          <w:rFonts w:ascii="Arial" w:eastAsia="Arial" w:hAnsi="Arial" w:cs="Arial"/>
          <w:b/>
        </w:rPr>
        <w:t>(See attached)</w:t>
      </w:r>
      <w:bookmarkEnd w:id="29"/>
      <w:bookmarkEnd w:id="40"/>
      <w:bookmarkEnd w:id="44"/>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LR0199,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Inclusion of Racial and Other Demographic Data from State Agencies in the Legislative Process</w:t>
    </w:r>
  </w:p>
  <w:p>
    <w:pPr>
      <w:suppressLineNumbers/>
      <w:spacing w:before="0" w:after="0"/>
      <w:jc w:val="center"/>
      <w:rPr>
        <w:rFonts w:ascii="Arial" w:eastAsia="Arial" w:hAnsi="Arial" w:cs="Arial"/>
      </w:rPr>
    </w:pPr>
    <w:r>
      <w:rPr>
        <w:rFonts w:ascii="Arial" w:eastAsia="Arial" w:hAnsi="Arial" w:cs="Arial"/>
        <w:sz w:val="22"/>
      </w:rPr>
      <w:t>L.D. 590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8397A"/>
    <w:rsid w:val="007D72C8"/>
    <w:rsid w:val="007F3B1E"/>
    <w:rsid w:val="00801F19"/>
    <w:rsid w:val="00806421"/>
    <w:rsid w:val="008A5943"/>
    <w:rsid w:val="0092322A"/>
    <w:rsid w:val="009367EC"/>
    <w:rsid w:val="0099722B"/>
    <w:rsid w:val="009B3D4F"/>
    <w:rsid w:val="009D6A0B"/>
    <w:rsid w:val="009E724F"/>
    <w:rsid w:val="009F6C9E"/>
    <w:rsid w:val="00A416D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