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Permanent the Ability of Certain Retailers and Distilleries to Sell Liquor for Off-premises Consumption and Cocktails for On-premises Consumption</w:t>
      </w:r>
    </w:p>
    <w:p w:rsidR="00060F7D" w:rsidP="00060F7D">
      <w:pPr>
        <w:spacing w:after="240"/>
        <w:ind w:left="360"/>
        <w:jc w:val="right"/>
        <w:rPr>
          <w:rFonts w:ascii="Arial" w:eastAsia="Arial" w:hAnsi="Arial" w:cs="Arial"/>
          <w:caps/>
        </w:rPr>
      </w:pPr>
      <w:bookmarkStart w:id="0" w:name="_AMEND_TITLE__771c4331_240e_4307_85bc_30"/>
      <w:bookmarkStart w:id="1" w:name="_PAGE__1_4b2382df_834e_4951_8b39_7520617"/>
      <w:bookmarkStart w:id="2" w:name="_PAR__2_a6782c8e_5466_45e8_92e4_425da474"/>
      <w:r>
        <w:rPr>
          <w:rFonts w:ascii="Arial" w:eastAsia="Arial" w:hAnsi="Arial" w:cs="Arial"/>
          <w:caps/>
        </w:rPr>
        <w:t>L.D. 201</w:t>
      </w:r>
    </w:p>
    <w:p w:rsidR="00060F7D" w:rsidP="00060F7D">
      <w:pPr>
        <w:tabs>
          <w:tab w:val="right" w:pos="8928"/>
        </w:tabs>
        <w:spacing w:after="360"/>
        <w:ind w:left="360"/>
        <w:rPr>
          <w:rFonts w:ascii="Arial" w:eastAsia="Arial" w:hAnsi="Arial" w:cs="Arial"/>
        </w:rPr>
      </w:pPr>
      <w:bookmarkStart w:id="3" w:name="_PAR__3_b4b46fbd_c4ad_4b3d_8309_00d87105"/>
      <w:bookmarkEnd w:id="2"/>
      <w:r>
        <w:rPr>
          <w:rFonts w:ascii="Arial" w:eastAsia="Arial" w:hAnsi="Arial" w:cs="Arial"/>
        </w:rPr>
        <w:t>Date:</w:t>
      </w:r>
      <w:r>
        <w:rPr>
          <w:rFonts w:ascii="Arial" w:eastAsia="Arial" w:hAnsi="Arial" w:cs="Arial"/>
        </w:rPr>
        <w:tab/>
        <w:t>(Filing No. S-         )</w:t>
      </w:r>
    </w:p>
    <w:p w:rsidR="00060F7D" w:rsidP="00060F7D">
      <w:pPr>
        <w:spacing w:before="600" w:after="300"/>
        <w:ind w:left="360"/>
        <w:jc w:val="center"/>
        <w:outlineLvl w:val="0"/>
        <w:rPr>
          <w:rFonts w:ascii="Arial" w:eastAsia="Arial" w:hAnsi="Arial" w:cs="Arial"/>
        </w:rPr>
      </w:pPr>
      <w:bookmarkStart w:id="4" w:name="_PAR__4_e7176a2b_d465_4946_abe4_21483273"/>
      <w:bookmarkEnd w:id="3"/>
      <w:r>
        <w:rPr>
          <w:rFonts w:ascii="Arial" w:eastAsia="Arial" w:hAnsi="Arial" w:cs="Arial"/>
          <w:b/>
          <w:caps/>
          <w:sz w:val="24"/>
          <w:szCs w:val="32"/>
        </w:rPr>
        <w:t xml:space="preserve">Veterans and Legal Affairs </w:t>
      </w:r>
    </w:p>
    <w:p w:rsidR="00060F7D" w:rsidP="00060F7D">
      <w:pPr>
        <w:spacing w:before="60" w:after="60"/>
        <w:ind w:left="720"/>
        <w:rPr>
          <w:rFonts w:ascii="Arial" w:eastAsia="Arial" w:hAnsi="Arial" w:cs="Arial"/>
        </w:rPr>
      </w:pPr>
      <w:bookmarkStart w:id="5" w:name="_PAR__5_78a938d9_e151_4d0a_a100_be9224f8"/>
      <w:bookmarkEnd w:id="4"/>
      <w:r>
        <w:rPr>
          <w:rFonts w:ascii="Arial" w:eastAsia="Arial" w:hAnsi="Arial" w:cs="Arial"/>
        </w:rPr>
        <w:t>Reproduced and distributed under the direction of the Secretary of the Senate.</w:t>
      </w:r>
    </w:p>
    <w:p w:rsidR="00060F7D" w:rsidP="00060F7D">
      <w:pPr>
        <w:spacing w:before="160" w:after="0"/>
        <w:ind w:left="360"/>
        <w:jc w:val="center"/>
        <w:outlineLvl w:val="0"/>
        <w:rPr>
          <w:rFonts w:ascii="Arial" w:eastAsia="Arial" w:hAnsi="Arial" w:cs="Arial"/>
          <w:b/>
          <w:caps/>
          <w:sz w:val="24"/>
          <w:szCs w:val="32"/>
        </w:rPr>
      </w:pPr>
      <w:bookmarkStart w:id="6" w:name="_PAR__6_c2d97fb2_b48e_44cc_9689_fe94ac68"/>
      <w:bookmarkEnd w:id="5"/>
      <w:r>
        <w:rPr>
          <w:rFonts w:ascii="Arial" w:eastAsia="Arial" w:hAnsi="Arial" w:cs="Arial"/>
          <w:b/>
          <w:caps/>
          <w:sz w:val="24"/>
          <w:szCs w:val="32"/>
        </w:rPr>
        <w:t>STATE OF MAINE</w:t>
      </w:r>
    </w:p>
    <w:p w:rsidR="00060F7D" w:rsidP="00060F7D">
      <w:pPr>
        <w:spacing w:after="0"/>
        <w:ind w:left="360"/>
        <w:jc w:val="center"/>
        <w:outlineLvl w:val="0"/>
        <w:rPr>
          <w:rFonts w:ascii="Arial" w:eastAsia="Arial" w:hAnsi="Arial" w:cs="Arial"/>
          <w:b/>
          <w:caps/>
          <w:sz w:val="24"/>
          <w:szCs w:val="32"/>
        </w:rPr>
      </w:pPr>
      <w:bookmarkStart w:id="7" w:name="_PAR__7_278cf111_362d_4789_a560_8b90647b"/>
      <w:bookmarkEnd w:id="6"/>
      <w:r>
        <w:rPr>
          <w:rFonts w:ascii="Arial" w:eastAsia="Arial" w:hAnsi="Arial" w:cs="Arial"/>
          <w:b/>
          <w:caps/>
          <w:sz w:val="24"/>
          <w:szCs w:val="32"/>
        </w:rPr>
        <w:t>SENATE</w:t>
      </w:r>
    </w:p>
    <w:p w:rsidR="00060F7D" w:rsidP="00060F7D">
      <w:pPr>
        <w:spacing w:after="0"/>
        <w:ind w:left="360"/>
        <w:jc w:val="center"/>
        <w:outlineLvl w:val="0"/>
        <w:rPr>
          <w:rFonts w:ascii="Arial" w:eastAsia="Arial" w:hAnsi="Arial" w:cs="Arial"/>
          <w:b/>
          <w:caps/>
          <w:sz w:val="24"/>
          <w:szCs w:val="32"/>
        </w:rPr>
      </w:pPr>
      <w:bookmarkStart w:id="8" w:name="_PAR__8_5bbe20aa_407f_46c7_850c_6e50f1d6"/>
      <w:bookmarkEnd w:id="7"/>
      <w:r>
        <w:rPr>
          <w:rFonts w:ascii="Arial" w:eastAsia="Arial" w:hAnsi="Arial" w:cs="Arial"/>
          <w:b/>
          <w:caps/>
          <w:sz w:val="24"/>
          <w:szCs w:val="32"/>
        </w:rPr>
        <w:t>131st Legislature</w:t>
      </w:r>
    </w:p>
    <w:p w:rsidR="00060F7D" w:rsidP="00060F7D">
      <w:pPr>
        <w:spacing w:after="0"/>
        <w:ind w:left="360"/>
        <w:jc w:val="center"/>
        <w:outlineLvl w:val="0"/>
        <w:rPr>
          <w:rFonts w:ascii="Arial" w:eastAsia="Arial" w:hAnsi="Arial" w:cs="Arial"/>
          <w:b/>
          <w:caps/>
          <w:sz w:val="24"/>
          <w:szCs w:val="32"/>
        </w:rPr>
      </w:pPr>
      <w:bookmarkStart w:id="9" w:name="_PAR__9_7cedad40_7263_44fc_a9a7_3bbf9ae5"/>
      <w:bookmarkEnd w:id="8"/>
      <w:r>
        <w:rPr>
          <w:rFonts w:ascii="Arial" w:eastAsia="Arial" w:hAnsi="Arial" w:cs="Arial"/>
          <w:b/>
          <w:caps/>
          <w:sz w:val="24"/>
          <w:szCs w:val="32"/>
        </w:rPr>
        <w:t>First Special Session</w:t>
      </w:r>
    </w:p>
    <w:p w:rsidR="00060F7D" w:rsidP="00060F7D">
      <w:pPr>
        <w:spacing w:before="400" w:after="200"/>
        <w:ind w:left="360" w:firstLine="360"/>
        <w:rPr>
          <w:rFonts w:ascii="Arial" w:eastAsia="Arial" w:hAnsi="Arial" w:cs="Arial"/>
        </w:rPr>
      </w:pPr>
      <w:bookmarkStart w:id="10" w:name="_PAR__10_35b75109_9b6e_40d5_be58_6d52fd1"/>
      <w:bookmarkEnd w:id="9"/>
      <w:r>
        <w:rPr>
          <w:rFonts w:ascii="Arial" w:eastAsia="Arial" w:hAnsi="Arial" w:cs="Arial"/>
          <w:szCs w:val="22"/>
        </w:rPr>
        <w:t>COMMITTEE AMENDMENT “      ” to S.P. 101, L.D. 201, “An Act to Make Permanent the Ability of Certain Retailers and Distilleries to Sell Liquor for Off-premises Consumption and Cocktails for On-premises Consumption”</w:t>
      </w:r>
    </w:p>
    <w:p w:rsidR="00060F7D" w:rsidP="00060F7D">
      <w:pPr>
        <w:ind w:left="360" w:firstLine="360"/>
        <w:rPr>
          <w:rFonts w:ascii="Arial" w:eastAsia="Arial" w:hAnsi="Arial" w:cs="Arial"/>
        </w:rPr>
      </w:pPr>
      <w:bookmarkStart w:id="11" w:name="_INSTRUCTION__b0928b28_f4d4_498a_988e_e1"/>
      <w:bookmarkStart w:id="12" w:name="_PAR__11_0ce465a4_7926_49db_8c75_c761142"/>
      <w:bookmarkEnd w:id="0"/>
      <w:bookmarkEnd w:id="10"/>
      <w:r>
        <w:rPr>
          <w:rFonts w:ascii="Arial" w:eastAsia="Arial" w:hAnsi="Arial" w:cs="Arial"/>
        </w:rPr>
        <w:t>Amend the bill by inserting after the title and before the enacting clause the following:</w:t>
      </w:r>
    </w:p>
    <w:p w:rsidR="00060F7D" w:rsidP="00060F7D">
      <w:pPr>
        <w:ind w:left="360" w:firstLine="360"/>
        <w:rPr>
          <w:rFonts w:ascii="Arial" w:eastAsia="Arial" w:hAnsi="Arial" w:cs="Arial"/>
        </w:rPr>
      </w:pPr>
      <w:bookmarkStart w:id="13" w:name="_PAR__12_1fe9e5fa_b7a1_498c_89d4_8fe83b2"/>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60F7D" w:rsidP="00060F7D">
      <w:pPr>
        <w:ind w:left="360" w:firstLine="360"/>
        <w:rPr>
          <w:rFonts w:ascii="Arial" w:eastAsia="Arial" w:hAnsi="Arial" w:cs="Arial"/>
        </w:rPr>
      </w:pPr>
      <w:bookmarkStart w:id="14" w:name="_PAR__13_c50d66ac_7d5e_4849_8681_f1fe808"/>
      <w:bookmarkEnd w:id="13"/>
      <w:r>
        <w:rPr>
          <w:rFonts w:ascii="Arial" w:eastAsia="Arial" w:hAnsi="Arial" w:cs="Arial"/>
          <w:b/>
          <w:sz w:val="24"/>
        </w:rPr>
        <w:t>Whereas,</w:t>
      </w:r>
      <w:r>
        <w:rPr>
          <w:rFonts w:ascii="Arial" w:eastAsia="Arial" w:hAnsi="Arial" w:cs="Arial"/>
        </w:rPr>
        <w:t xml:space="preserve"> </w:t>
      </w:r>
      <w:r w:rsidRPr="00A929A5">
        <w:rPr>
          <w:rFonts w:ascii="Arial" w:eastAsia="Arial" w:hAnsi="Arial" w:cs="Arial"/>
        </w:rPr>
        <w:t>the spread of the novel coronavirus disease referred to as COVID-19 created a public health emergency and</w:t>
      </w:r>
      <w:r>
        <w:rPr>
          <w:rFonts w:ascii="Arial" w:eastAsia="Arial" w:hAnsi="Arial" w:cs="Arial"/>
        </w:rPr>
        <w:t xml:space="preserve"> prompted</w:t>
      </w:r>
      <w:r w:rsidRPr="00A929A5">
        <w:rPr>
          <w:rFonts w:ascii="Arial" w:eastAsia="Arial" w:hAnsi="Arial" w:cs="Arial"/>
        </w:rPr>
        <w:t xml:space="preserve"> subsequent public health measures, which resulted in economic hardship and insecurity for restaurants, bars, tasting rooms, distilleries and small distilleries; and</w:t>
      </w:r>
    </w:p>
    <w:p w:rsidR="00060F7D" w:rsidP="00060F7D">
      <w:pPr>
        <w:ind w:left="360" w:firstLine="360"/>
        <w:rPr>
          <w:rFonts w:ascii="Arial" w:eastAsia="Arial" w:hAnsi="Arial" w:cs="Arial"/>
        </w:rPr>
      </w:pPr>
      <w:bookmarkStart w:id="15" w:name="_PAR__14_a2c4bef1_6165_467c_92cb_01b0b61"/>
      <w:bookmarkEnd w:id="14"/>
      <w:r>
        <w:rPr>
          <w:rFonts w:ascii="Arial" w:eastAsia="Arial" w:hAnsi="Arial" w:cs="Arial"/>
          <w:b/>
          <w:sz w:val="24"/>
        </w:rPr>
        <w:t>Whereas,</w:t>
      </w:r>
      <w:r>
        <w:rPr>
          <w:rFonts w:ascii="Arial" w:eastAsia="Arial" w:hAnsi="Arial" w:cs="Arial"/>
        </w:rPr>
        <w:t xml:space="preserve"> </w:t>
      </w:r>
      <w:r w:rsidRPr="00A929A5">
        <w:rPr>
          <w:rFonts w:ascii="Arial" w:eastAsia="Arial" w:hAnsi="Arial" w:cs="Arial"/>
        </w:rPr>
        <w:t xml:space="preserve">in response to the economic hardship facing restaurants, bars, tasting rooms, distilleries and small distilleries, the </w:t>
      </w:r>
      <w:r>
        <w:rPr>
          <w:rFonts w:ascii="Arial" w:eastAsia="Arial" w:hAnsi="Arial" w:cs="Arial"/>
        </w:rPr>
        <w:t>L</w:t>
      </w:r>
      <w:r w:rsidRPr="00A929A5">
        <w:rPr>
          <w:rFonts w:ascii="Arial" w:eastAsia="Arial" w:hAnsi="Arial" w:cs="Arial"/>
        </w:rPr>
        <w:t>egislature enacted Public Law 2021, chapter 3, which temporarily allowed on-premises retailers to sell liquor to customers through take-out and delivery service if the liquor was accompanied by a food order</w:t>
      </w:r>
      <w:r>
        <w:rPr>
          <w:rFonts w:ascii="Arial" w:eastAsia="Arial" w:hAnsi="Arial" w:cs="Arial"/>
        </w:rPr>
        <w:t>;</w:t>
      </w:r>
      <w:r w:rsidRPr="00A929A5">
        <w:rPr>
          <w:rFonts w:ascii="Arial" w:eastAsia="Arial" w:hAnsi="Arial" w:cs="Arial"/>
        </w:rPr>
        <w:t xml:space="preserve"> Public Law 2021, chapter 91, which temporarily allowed distilleries or small distilleries to sell for on-premises consumption cocktails containing samples of </w:t>
      </w:r>
      <w:r>
        <w:rPr>
          <w:rFonts w:ascii="Arial" w:eastAsia="Arial" w:hAnsi="Arial" w:cs="Arial"/>
        </w:rPr>
        <w:t>distilleries'</w:t>
      </w:r>
      <w:r w:rsidRPr="00A929A5">
        <w:rPr>
          <w:rFonts w:ascii="Arial" w:eastAsia="Arial" w:hAnsi="Arial" w:cs="Arial"/>
        </w:rPr>
        <w:t xml:space="preserve"> spirits products</w:t>
      </w:r>
      <w:r>
        <w:rPr>
          <w:rFonts w:ascii="Arial" w:eastAsia="Arial" w:hAnsi="Arial" w:cs="Arial"/>
        </w:rPr>
        <w:t>;</w:t>
      </w:r>
      <w:r w:rsidRPr="00A929A5">
        <w:rPr>
          <w:rFonts w:ascii="Arial" w:eastAsia="Arial" w:hAnsi="Arial" w:cs="Arial"/>
        </w:rPr>
        <w:t xml:space="preserve"> and Public Law 2021, chapter 514</w:t>
      </w:r>
      <w:r>
        <w:rPr>
          <w:rFonts w:ascii="Arial" w:eastAsia="Arial" w:hAnsi="Arial" w:cs="Arial"/>
        </w:rPr>
        <w:t>,</w:t>
      </w:r>
      <w:r w:rsidRPr="00A929A5">
        <w:rPr>
          <w:rFonts w:ascii="Arial" w:eastAsia="Arial" w:hAnsi="Arial" w:cs="Arial"/>
        </w:rPr>
        <w:t xml:space="preserve"> which extended the time in which these activities </w:t>
      </w:r>
      <w:r>
        <w:rPr>
          <w:rFonts w:ascii="Arial" w:eastAsia="Arial" w:hAnsi="Arial" w:cs="Arial"/>
        </w:rPr>
        <w:t>may</w:t>
      </w:r>
      <w:r w:rsidRPr="00A929A5">
        <w:rPr>
          <w:rFonts w:ascii="Arial" w:eastAsia="Arial" w:hAnsi="Arial" w:cs="Arial"/>
        </w:rPr>
        <w:t xml:space="preserve"> take place; and</w:t>
      </w:r>
    </w:p>
    <w:p w:rsidR="00060F7D" w:rsidRPr="00A929A5" w:rsidP="00060F7D">
      <w:pPr>
        <w:ind w:left="360" w:firstLine="360"/>
        <w:rPr>
          <w:rFonts w:ascii="Arial" w:eastAsia="Arial" w:hAnsi="Arial" w:cs="Arial"/>
        </w:rPr>
      </w:pPr>
      <w:bookmarkStart w:id="16" w:name="_PAR__15_fb65ff7b_185b_44bb_82ed_48aa713"/>
      <w:bookmarkEnd w:id="15"/>
      <w:r w:rsidRPr="00A929A5">
        <w:rPr>
          <w:rFonts w:ascii="Arial" w:eastAsia="Arial" w:hAnsi="Arial" w:cs="Arial"/>
          <w:b/>
          <w:sz w:val="24"/>
        </w:rPr>
        <w:t>Whereas,</w:t>
      </w:r>
      <w:r>
        <w:rPr>
          <w:rFonts w:ascii="Arial" w:eastAsia="Arial" w:hAnsi="Arial" w:cs="Arial"/>
          <w:szCs w:val="22"/>
        </w:rPr>
        <w:t xml:space="preserve"> </w:t>
      </w:r>
      <w:r w:rsidRPr="00A929A5">
        <w:rPr>
          <w:rFonts w:ascii="Arial" w:eastAsia="Arial" w:hAnsi="Arial" w:cs="Arial"/>
          <w:szCs w:val="22"/>
        </w:rPr>
        <w:t>the lingering effects of the public health emergency and subsequent public health measures continue to impact the economic health of Maine restaurants, bars, tasting rooms, distilleries and small distilleries; and</w:t>
      </w:r>
    </w:p>
    <w:p w:rsidR="00060F7D" w:rsidRPr="00A929A5" w:rsidP="00060F7D">
      <w:pPr>
        <w:ind w:left="360" w:firstLine="360"/>
        <w:rPr>
          <w:rFonts w:ascii="Arial" w:eastAsia="Arial" w:hAnsi="Arial" w:cs="Arial"/>
        </w:rPr>
      </w:pPr>
      <w:bookmarkStart w:id="17" w:name="_PAR__16_9290baad_d74c_4934_9dc1_2779827"/>
      <w:bookmarkEnd w:id="16"/>
      <w:r w:rsidRPr="00A929A5">
        <w:rPr>
          <w:rFonts w:ascii="Arial" w:eastAsia="Arial" w:hAnsi="Arial" w:cs="Arial"/>
          <w:b/>
          <w:sz w:val="24"/>
        </w:rPr>
        <w:t>Whereas,</w:t>
      </w:r>
      <w:r>
        <w:rPr>
          <w:rFonts w:ascii="Arial" w:eastAsia="Arial" w:hAnsi="Arial" w:cs="Arial"/>
          <w:b/>
          <w:sz w:val="24"/>
        </w:rPr>
        <w:t xml:space="preserve"> </w:t>
      </w:r>
      <w:r w:rsidRPr="00A929A5">
        <w:rPr>
          <w:rFonts w:ascii="Arial" w:eastAsia="Arial" w:hAnsi="Arial" w:cs="Arial"/>
          <w:szCs w:val="22"/>
        </w:rPr>
        <w:t xml:space="preserve">with a statutory repeal date for these laws, Maine restaurants, bars, tasting rooms, distilleries and small distilleries face economic uncertainty and </w:t>
      </w:r>
      <w:r>
        <w:rPr>
          <w:rFonts w:ascii="Arial" w:eastAsia="Arial" w:hAnsi="Arial" w:cs="Arial"/>
          <w:szCs w:val="22"/>
        </w:rPr>
        <w:t>inhibited</w:t>
      </w:r>
      <w:r w:rsidRPr="00A929A5">
        <w:rPr>
          <w:rFonts w:ascii="Arial" w:eastAsia="Arial" w:hAnsi="Arial" w:cs="Arial"/>
          <w:szCs w:val="22"/>
        </w:rPr>
        <w:t xml:space="preserve"> innovation; and</w:t>
      </w:r>
    </w:p>
    <w:p w:rsidR="00060F7D" w:rsidRPr="00A929A5" w:rsidP="00060F7D">
      <w:pPr>
        <w:ind w:left="360" w:firstLine="360"/>
        <w:rPr>
          <w:rFonts w:ascii="Arial" w:eastAsia="Arial" w:hAnsi="Arial" w:cs="Arial"/>
        </w:rPr>
      </w:pPr>
      <w:bookmarkStart w:id="18" w:name="_PAR__17_38a347d3_30f3_4438_92e7_f7e31bd"/>
      <w:bookmarkEnd w:id="17"/>
      <w:r w:rsidRPr="00A929A5">
        <w:rPr>
          <w:rFonts w:ascii="Arial" w:eastAsia="Arial" w:hAnsi="Arial" w:cs="Arial"/>
          <w:b/>
          <w:sz w:val="24"/>
        </w:rPr>
        <w:t>Whereas,</w:t>
      </w:r>
      <w:r>
        <w:rPr>
          <w:rFonts w:ascii="Arial" w:eastAsia="Arial" w:hAnsi="Arial" w:cs="Arial"/>
          <w:b/>
          <w:sz w:val="24"/>
        </w:rPr>
        <w:t xml:space="preserve"> </w:t>
      </w:r>
      <w:r w:rsidRPr="00F73C7C">
        <w:rPr>
          <w:rFonts w:ascii="Arial" w:eastAsia="Arial" w:hAnsi="Arial" w:cs="Arial"/>
          <w:szCs w:val="22"/>
        </w:rPr>
        <w:t>with</w:t>
      </w:r>
      <w:r>
        <w:rPr>
          <w:rFonts w:ascii="Arial" w:eastAsia="Arial" w:hAnsi="Arial" w:cs="Arial"/>
          <w:szCs w:val="22"/>
        </w:rPr>
        <w:t xml:space="preserve"> the busy summer season quickly approaching,</w:t>
      </w:r>
      <w:r w:rsidRPr="00F73C7C">
        <w:rPr>
          <w:rFonts w:ascii="Arial" w:eastAsia="Arial" w:hAnsi="Arial" w:cs="Arial"/>
          <w:szCs w:val="22"/>
        </w:rPr>
        <w:t xml:space="preserve"> </w:t>
      </w:r>
      <w:r w:rsidRPr="00A929A5">
        <w:rPr>
          <w:rFonts w:ascii="Arial" w:eastAsia="Arial" w:hAnsi="Arial" w:cs="Arial"/>
          <w:szCs w:val="22"/>
        </w:rPr>
        <w:t xml:space="preserve">there is a need to make a technical correction to </w:t>
      </w:r>
      <w:r>
        <w:rPr>
          <w:rFonts w:ascii="Arial" w:eastAsia="Arial" w:hAnsi="Arial" w:cs="Arial"/>
          <w:szCs w:val="22"/>
        </w:rPr>
        <w:t>a</w:t>
      </w:r>
      <w:r w:rsidRPr="00A929A5">
        <w:rPr>
          <w:rFonts w:ascii="Arial" w:eastAsia="Arial" w:hAnsi="Arial" w:cs="Arial"/>
          <w:szCs w:val="22"/>
        </w:rPr>
        <w:t xml:space="preserve"> statutory cross</w:t>
      </w:r>
      <w:r>
        <w:rPr>
          <w:rFonts w:ascii="Arial" w:eastAsia="Arial" w:hAnsi="Arial" w:cs="Arial"/>
          <w:szCs w:val="22"/>
        </w:rPr>
        <w:t>-</w:t>
      </w:r>
      <w:r w:rsidRPr="00A929A5">
        <w:rPr>
          <w:rFonts w:ascii="Arial" w:eastAsia="Arial" w:hAnsi="Arial" w:cs="Arial"/>
          <w:szCs w:val="22"/>
        </w:rPr>
        <w:t xml:space="preserve">reference within the definition of "food order" </w:t>
      </w:r>
      <w:r>
        <w:rPr>
          <w:rFonts w:ascii="Arial" w:eastAsia="Arial" w:hAnsi="Arial" w:cs="Arial"/>
          <w:szCs w:val="22"/>
        </w:rPr>
        <w:t xml:space="preserve">in </w:t>
      </w:r>
      <w:bookmarkStart w:id="19" w:name="_PAGE_SPLIT__18200684_4fe5_4790_9dd1_b72"/>
      <w:bookmarkStart w:id="20" w:name="_PAGE__2_50fcd491_fc80_4dc9_8c2a_084d5ad"/>
      <w:bookmarkStart w:id="21" w:name="_PAR__2_cca92ffc_ee02_4669_9a81_163b0ed4"/>
      <w:bookmarkEnd w:id="1"/>
      <w:bookmarkEnd w:id="18"/>
      <w:r>
        <w:rPr>
          <w:rFonts w:ascii="Arial" w:eastAsia="Arial" w:hAnsi="Arial" w:cs="Arial"/>
          <w:szCs w:val="22"/>
        </w:rPr>
        <w:t>t</w:t>
      </w:r>
      <w:bookmarkEnd w:id="19"/>
      <w:r>
        <w:rPr>
          <w:rFonts w:ascii="Arial" w:eastAsia="Arial" w:hAnsi="Arial" w:cs="Arial"/>
          <w:szCs w:val="22"/>
        </w:rPr>
        <w:t>he</w:t>
      </w:r>
      <w:r w:rsidRPr="00A929A5">
        <w:rPr>
          <w:rFonts w:ascii="Arial" w:eastAsia="Arial" w:hAnsi="Arial" w:cs="Arial"/>
          <w:szCs w:val="22"/>
        </w:rPr>
        <w:t xml:space="preserve"> requirement </w:t>
      </w:r>
      <w:r>
        <w:rPr>
          <w:rFonts w:ascii="Arial" w:eastAsia="Arial" w:hAnsi="Arial" w:cs="Arial"/>
          <w:szCs w:val="22"/>
        </w:rPr>
        <w:t>for</w:t>
      </w:r>
      <w:r w:rsidRPr="00A929A5">
        <w:rPr>
          <w:rFonts w:ascii="Arial" w:eastAsia="Arial" w:hAnsi="Arial" w:cs="Arial"/>
          <w:szCs w:val="22"/>
        </w:rPr>
        <w:t xml:space="preserve"> providing liquor to customers through take-out and delivery service; and</w:t>
      </w:r>
    </w:p>
    <w:p w:rsidR="00060F7D" w:rsidP="00060F7D">
      <w:pPr>
        <w:ind w:left="360" w:firstLine="360"/>
        <w:rPr>
          <w:rFonts w:ascii="Arial" w:eastAsia="Arial" w:hAnsi="Arial" w:cs="Arial"/>
        </w:rPr>
      </w:pPr>
      <w:bookmarkStart w:id="22" w:name="_PAR__3_7cbe5bf7_498b_4edf_8030_6a193ccd"/>
      <w:bookmarkEnd w:id="21"/>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60F7D" w:rsidP="00060F7D">
      <w:pPr>
        <w:ind w:left="360" w:firstLine="360"/>
        <w:rPr>
          <w:rFonts w:ascii="Arial" w:eastAsia="Arial" w:hAnsi="Arial" w:cs="Arial"/>
        </w:rPr>
      </w:pPr>
      <w:bookmarkStart w:id="23" w:name="_INSTRUCTION__4fe98ce3_64d8_4beb_ad00_10"/>
      <w:bookmarkStart w:id="24" w:name="_PAR__4_b95e7481_a85e_47c0_b387_dabaca8e"/>
      <w:bookmarkEnd w:id="11"/>
      <w:bookmarkEnd w:id="22"/>
      <w:r>
        <w:rPr>
          <w:rFonts w:ascii="Arial" w:eastAsia="Arial" w:hAnsi="Arial" w:cs="Arial"/>
        </w:rPr>
        <w:t>Amend the bill by inserting before section 1 the following:</w:t>
      </w:r>
    </w:p>
    <w:p w:rsidR="00060F7D" w:rsidP="00060F7D">
      <w:pPr>
        <w:ind w:left="360" w:firstLine="360"/>
        <w:rPr>
          <w:rFonts w:ascii="Arial" w:eastAsia="Arial" w:hAnsi="Arial" w:cs="Arial"/>
        </w:rPr>
      </w:pPr>
      <w:bookmarkStart w:id="25" w:name="_PAR__5_c17d4661_f5c7_4f5f_b15a_fa8a078d"/>
      <w:bookmarkEnd w:id="24"/>
      <w:r>
        <w:rPr>
          <w:rFonts w:ascii="Arial" w:eastAsia="Arial" w:hAnsi="Arial" w:cs="Arial"/>
        </w:rPr>
        <w:t>'</w:t>
      </w:r>
      <w:r>
        <w:rPr>
          <w:rFonts w:ascii="Arial" w:eastAsia="Arial" w:hAnsi="Arial" w:cs="Arial"/>
          <w:b/>
          <w:sz w:val="24"/>
        </w:rPr>
        <w:t>Sec. 1.  28-A MRSA §1056, sub-§1, ¶C,</w:t>
      </w:r>
      <w:r>
        <w:rPr>
          <w:rFonts w:ascii="Arial" w:eastAsia="Arial" w:hAnsi="Arial" w:cs="Arial"/>
        </w:rPr>
        <w:t xml:space="preserve"> as enacted by PL 2021, c. 3, §1, is amended to read:</w:t>
      </w:r>
    </w:p>
    <w:p w:rsidR="00060F7D" w:rsidP="00060F7D">
      <w:pPr>
        <w:ind w:left="720"/>
        <w:rPr>
          <w:rFonts w:ascii="Arial" w:eastAsia="Arial" w:hAnsi="Arial" w:cs="Arial"/>
        </w:rPr>
      </w:pPr>
      <w:bookmarkStart w:id="26" w:name="_PAR__6_646137d1_894f_4988_b5df_fc8cd016"/>
      <w:bookmarkEnd w:id="25"/>
      <w:r>
        <w:rPr>
          <w:rFonts w:ascii="Arial" w:eastAsia="Arial" w:hAnsi="Arial" w:cs="Arial"/>
        </w:rPr>
        <w:t xml:space="preserve">C.  "Food order" means an order of a full </w:t>
      </w:r>
      <w:r>
        <w:rPr>
          <w:rFonts w:ascii="Arial" w:eastAsia="Arial" w:hAnsi="Arial" w:cs="Arial"/>
          <w:strike/>
        </w:rPr>
        <w:t>course</w:t>
      </w:r>
      <w:r>
        <w:rPr>
          <w:rFonts w:ascii="Arial" w:eastAsia="Arial" w:hAnsi="Arial" w:cs="Arial"/>
        </w:rPr>
        <w:t xml:space="preserve"> meal as defined in section 2, subsection </w:t>
      </w:r>
      <w:r>
        <w:rPr>
          <w:rFonts w:ascii="Arial" w:eastAsia="Arial" w:hAnsi="Arial" w:cs="Arial"/>
          <w:strike/>
        </w:rPr>
        <w:t>15, paragraph R‑1</w:t>
      </w:r>
      <w:r>
        <w:rPr>
          <w:rFonts w:ascii="Arial" w:eastAsia="Arial" w:hAnsi="Arial" w:cs="Arial"/>
        </w:rPr>
        <w:t xml:space="preserve"> </w:t>
      </w:r>
      <w:r>
        <w:rPr>
          <w:rFonts w:ascii="Arial" w:eastAsia="Arial" w:hAnsi="Arial" w:cs="Arial"/>
          <w:u w:val="single"/>
        </w:rPr>
        <w:t>11-E</w:t>
      </w:r>
      <w:r>
        <w:rPr>
          <w:rFonts w:ascii="Arial" w:eastAsia="Arial" w:hAnsi="Arial" w:cs="Arial"/>
        </w:rPr>
        <w:t xml:space="preserve"> or an order of a cold or hot meal including but not limited to a sandwich, salad, hamburger, cheeseburger, hot dog, pizza or other food item that customarily appears on a restaurant menu.  "Food order" does not include an order consisting solely of a prepackaged snack food or foods such as popcorn, chips or pretzels.</w:t>
      </w:r>
    </w:p>
    <w:p w:rsidR="00060F7D" w:rsidP="00060F7D">
      <w:pPr>
        <w:ind w:left="360" w:firstLine="360"/>
        <w:rPr>
          <w:rFonts w:ascii="Arial" w:eastAsia="Arial" w:hAnsi="Arial" w:cs="Arial"/>
        </w:rPr>
      </w:pPr>
      <w:bookmarkStart w:id="27" w:name="_PAR__7_c5ed8936_775f_4023_9bbe_55c0cb7b"/>
      <w:bookmarkEnd w:id="26"/>
      <w:r>
        <w:rPr>
          <w:rFonts w:ascii="Arial" w:eastAsia="Arial" w:hAnsi="Arial" w:cs="Arial"/>
          <w:b/>
          <w:sz w:val="24"/>
        </w:rPr>
        <w:t>Sec. 2.  28-A MRSA §1056, sub-§2, ¶C,</w:t>
      </w:r>
      <w:r>
        <w:rPr>
          <w:rFonts w:ascii="Arial" w:eastAsia="Arial" w:hAnsi="Arial" w:cs="Arial"/>
        </w:rPr>
        <w:t xml:space="preserve"> as enacted by PL 2021, c. 3, §1, is amended by amending subparagraph (1) to read:</w:t>
      </w:r>
    </w:p>
    <w:p w:rsidR="00060F7D" w:rsidP="00060F7D">
      <w:pPr>
        <w:ind w:left="1080"/>
        <w:rPr>
          <w:rFonts w:ascii="Arial" w:eastAsia="Arial" w:hAnsi="Arial" w:cs="Arial"/>
        </w:rPr>
      </w:pPr>
      <w:bookmarkStart w:id="28" w:name="_PAR__8_12936653_1735_4db9_97b7_89c0806e"/>
      <w:bookmarkEnd w:id="27"/>
      <w:r>
        <w:rPr>
          <w:rFonts w:ascii="Arial" w:eastAsia="Arial" w:hAnsi="Arial" w:cs="Arial"/>
        </w:rPr>
        <w:t xml:space="preserve">(1)  If the qualified on-premises retailer is licensed under this chapter to sell wine for on-premises consumption, it may sell wine for off-premises consumption </w:t>
      </w:r>
      <w:r>
        <w:rPr>
          <w:rFonts w:ascii="Arial" w:eastAsia="Arial" w:hAnsi="Arial" w:cs="Arial"/>
          <w:strike/>
        </w:rPr>
        <w:t>only</w:t>
      </w:r>
      <w:r>
        <w:rPr>
          <w:rFonts w:ascii="Arial" w:eastAsia="Arial" w:hAnsi="Arial" w:cs="Arial"/>
        </w:rPr>
        <w:t xml:space="preserve"> in </w:t>
      </w:r>
      <w:r>
        <w:rPr>
          <w:rFonts w:ascii="Arial" w:eastAsia="Arial" w:hAnsi="Arial" w:cs="Arial"/>
          <w:u w:val="single"/>
        </w:rPr>
        <w:t>an approved container, in</w:t>
      </w:r>
      <w:r>
        <w:rPr>
          <w:rFonts w:ascii="Arial" w:eastAsia="Arial" w:hAnsi="Arial" w:cs="Arial"/>
        </w:rPr>
        <w:t xml:space="preserve"> an original container or as an ingredient in an approved cocktail.  An approved cocktail sold by a qualified on-premises retailer under this subparagraph may not contain spirits unless the qualified on-premises retailer is also licensed to sell spirits for on-premises consumption under this chapter.</w:t>
      </w:r>
    </w:p>
    <w:p w:rsidR="00060F7D" w:rsidP="00060F7D">
      <w:pPr>
        <w:ind w:left="360" w:firstLine="360"/>
        <w:rPr>
          <w:rFonts w:ascii="Arial" w:eastAsia="Arial" w:hAnsi="Arial" w:cs="Arial"/>
        </w:rPr>
      </w:pPr>
      <w:bookmarkStart w:id="29" w:name="_PAR__9_dbccfae8_fe26_448a_b9c0_ffcf558e"/>
      <w:bookmarkEnd w:id="28"/>
      <w:r>
        <w:rPr>
          <w:rFonts w:ascii="Arial" w:eastAsia="Arial" w:hAnsi="Arial" w:cs="Arial"/>
          <w:b/>
          <w:sz w:val="24"/>
        </w:rPr>
        <w:t>Sec. 3.  28-A MRSA §1056, sub-§2, ¶C,</w:t>
      </w:r>
      <w:r>
        <w:rPr>
          <w:rFonts w:ascii="Arial" w:eastAsia="Arial" w:hAnsi="Arial" w:cs="Arial"/>
        </w:rPr>
        <w:t xml:space="preserve"> as enacted by PL 2021, c. 3, §1, is amended by amending subparagraph (2) to read:</w:t>
      </w:r>
    </w:p>
    <w:p w:rsidR="00060F7D" w:rsidP="00060F7D">
      <w:pPr>
        <w:ind w:left="1080"/>
        <w:rPr>
          <w:rFonts w:ascii="Arial" w:eastAsia="Arial" w:hAnsi="Arial" w:cs="Arial"/>
        </w:rPr>
      </w:pPr>
      <w:bookmarkStart w:id="30" w:name="_PAR__10_3c718a7d_f7e8_41ff_b9b8_55a98e4"/>
      <w:bookmarkEnd w:id="29"/>
      <w:r>
        <w:rPr>
          <w:rFonts w:ascii="Arial" w:eastAsia="Arial" w:hAnsi="Arial" w:cs="Arial"/>
        </w:rPr>
        <w:t xml:space="preserve">(2)  If the qualified on-premises retailer is licensed under this chapter to sell malt liquor for on-premises consumption, it may sell malt liquor for off-premises consumption </w:t>
      </w:r>
      <w:r>
        <w:rPr>
          <w:rFonts w:ascii="Arial" w:eastAsia="Arial" w:hAnsi="Arial" w:cs="Arial"/>
          <w:strike/>
        </w:rPr>
        <w:t>only</w:t>
      </w:r>
      <w:r>
        <w:rPr>
          <w:rFonts w:ascii="Arial" w:eastAsia="Arial" w:hAnsi="Arial" w:cs="Arial"/>
        </w:rPr>
        <w:t xml:space="preserve"> in </w:t>
      </w:r>
      <w:r>
        <w:rPr>
          <w:rFonts w:ascii="Arial" w:eastAsia="Arial" w:hAnsi="Arial" w:cs="Arial"/>
          <w:u w:val="single"/>
        </w:rPr>
        <w:t>an approved container or</w:t>
      </w:r>
      <w:r>
        <w:rPr>
          <w:rFonts w:ascii="Arial" w:eastAsia="Arial" w:hAnsi="Arial" w:cs="Arial"/>
        </w:rPr>
        <w:t xml:space="preserve"> an original container.'</w:t>
      </w:r>
    </w:p>
    <w:p w:rsidR="00060F7D" w:rsidP="00060F7D">
      <w:pPr>
        <w:ind w:left="360" w:firstLine="360"/>
        <w:rPr>
          <w:rFonts w:ascii="Arial" w:eastAsia="Arial" w:hAnsi="Arial" w:cs="Arial"/>
        </w:rPr>
      </w:pPr>
      <w:bookmarkStart w:id="31" w:name="_INSTRUCTION__99fd3806_802e_40b7_aef0_93"/>
      <w:bookmarkStart w:id="32" w:name="_PAR__11_195e8ead_ad47_4922_8a0f_9c574a7"/>
      <w:bookmarkEnd w:id="23"/>
      <w:bookmarkEnd w:id="30"/>
      <w:r>
        <w:rPr>
          <w:rFonts w:ascii="Arial" w:eastAsia="Arial" w:hAnsi="Arial" w:cs="Arial"/>
        </w:rPr>
        <w:t>Amend the bill by adding before the summary the following:</w:t>
      </w:r>
    </w:p>
    <w:p w:rsidR="00060F7D" w:rsidP="00060F7D">
      <w:pPr>
        <w:ind w:left="360" w:firstLine="360"/>
        <w:rPr>
          <w:rFonts w:ascii="Arial" w:eastAsia="Arial" w:hAnsi="Arial" w:cs="Arial"/>
        </w:rPr>
      </w:pPr>
      <w:bookmarkStart w:id="33" w:name="_PAR__12_2f66b807_e100_4136_9ba5_22ee4a2"/>
      <w:bookmarkEnd w:id="32"/>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060F7D" w:rsidP="00060F7D">
      <w:pPr>
        <w:ind w:left="360" w:firstLine="360"/>
        <w:rPr>
          <w:rFonts w:ascii="Arial" w:eastAsia="Arial" w:hAnsi="Arial" w:cs="Arial"/>
        </w:rPr>
      </w:pPr>
      <w:bookmarkStart w:id="34" w:name="_INSTRUCTION__94d07767_a51c_47c7_8b8f_a0"/>
      <w:bookmarkStart w:id="35" w:name="_PAR__13_b5db4afe_0530_46b4_88e9_4616365"/>
      <w:bookmarkEnd w:id="31"/>
      <w:bookmarkEnd w:id="33"/>
      <w:r>
        <w:rPr>
          <w:rFonts w:ascii="Arial" w:eastAsia="Arial" w:hAnsi="Arial" w:cs="Arial"/>
        </w:rPr>
        <w:t>Amend the bill by relettering or renumbering any nonconsecutive Part letter or section number to read consecutively.</w:t>
      </w:r>
    </w:p>
    <w:p w:rsidR="00060F7D" w:rsidP="00060F7D">
      <w:pPr>
        <w:keepNext/>
        <w:spacing w:before="240"/>
        <w:ind w:left="360"/>
        <w:jc w:val="center"/>
        <w:rPr>
          <w:rFonts w:ascii="Arial" w:eastAsia="Arial" w:hAnsi="Arial" w:cs="Arial"/>
        </w:rPr>
      </w:pPr>
      <w:bookmarkStart w:id="36" w:name="_SUMMARY__57557372_f65e_4216_8bc2_f2010e"/>
      <w:bookmarkStart w:id="37" w:name="_PAR__14_042e57ad_871a_4918_b663_b1220da"/>
      <w:bookmarkEnd w:id="34"/>
      <w:bookmarkEnd w:id="35"/>
      <w:r>
        <w:rPr>
          <w:rFonts w:ascii="Arial" w:eastAsia="Arial" w:hAnsi="Arial" w:cs="Arial"/>
          <w:b/>
          <w:sz w:val="24"/>
        </w:rPr>
        <w:t>SUMMARY</w:t>
      </w:r>
    </w:p>
    <w:p w:rsidR="00060F7D" w:rsidP="00060F7D">
      <w:pPr>
        <w:keepNext/>
        <w:ind w:left="360" w:firstLine="360"/>
        <w:rPr>
          <w:rFonts w:ascii="Arial" w:eastAsia="Arial" w:hAnsi="Arial" w:cs="Arial"/>
        </w:rPr>
      </w:pPr>
      <w:bookmarkStart w:id="38" w:name="_PAR__15_5f4c03ef_f42c_491c_acc0_d1e4301"/>
      <w:bookmarkEnd w:id="37"/>
      <w:r w:rsidRPr="00A929A5">
        <w:rPr>
          <w:rFonts w:ascii="Arial" w:eastAsia="Arial" w:hAnsi="Arial" w:cs="Arial"/>
        </w:rPr>
        <w:t>This amendment adds an emergency preamble and emergency clause to the bill. This amendment also removes the requirement that wine and malt liquor sold for off-premises consumption be sold only in an original container and instead allows wine to be sold for off-premises consumption in an approved container,</w:t>
      </w:r>
      <w:r>
        <w:rPr>
          <w:rFonts w:ascii="Arial" w:eastAsia="Arial" w:hAnsi="Arial" w:cs="Arial"/>
        </w:rPr>
        <w:t xml:space="preserve"> in</w:t>
      </w:r>
      <w:r w:rsidRPr="00A929A5">
        <w:rPr>
          <w:rFonts w:ascii="Arial" w:eastAsia="Arial" w:hAnsi="Arial" w:cs="Arial"/>
        </w:rPr>
        <w:t xml:space="preserve"> an original container or as an ingredient in an approved cocktail and </w:t>
      </w:r>
      <w:r>
        <w:rPr>
          <w:rFonts w:ascii="Arial" w:eastAsia="Arial" w:hAnsi="Arial" w:cs="Arial"/>
        </w:rPr>
        <w:t>allows</w:t>
      </w:r>
      <w:r w:rsidRPr="00A929A5">
        <w:rPr>
          <w:rFonts w:ascii="Arial" w:eastAsia="Arial" w:hAnsi="Arial" w:cs="Arial"/>
        </w:rPr>
        <w:t xml:space="preserve"> malt liquor to be sold for off-premises consumption in an approved container or</w:t>
      </w:r>
      <w:r>
        <w:rPr>
          <w:rFonts w:ascii="Arial" w:eastAsia="Arial" w:hAnsi="Arial" w:cs="Arial"/>
        </w:rPr>
        <w:t xml:space="preserve"> in</w:t>
      </w:r>
      <w:r w:rsidRPr="00A929A5">
        <w:rPr>
          <w:rFonts w:ascii="Arial" w:eastAsia="Arial" w:hAnsi="Arial" w:cs="Arial"/>
        </w:rPr>
        <w:t xml:space="preserve"> an original container. It also makes a technical </w:t>
      </w:r>
      <w:bookmarkStart w:id="39" w:name="_PAGE_SPLIT__06d6194e_36e8_4408_a04a_067"/>
      <w:bookmarkStart w:id="40" w:name="_PAGE__3_b338057e_92f0_4ceb_8efd_4a5e5b4"/>
      <w:bookmarkStart w:id="41" w:name="_PAR__2_0df8f1c1_3e7d_4b38_8760_23aa3dac"/>
      <w:bookmarkEnd w:id="20"/>
      <w:bookmarkEnd w:id="38"/>
      <w:r w:rsidRPr="00A929A5">
        <w:rPr>
          <w:rFonts w:ascii="Arial" w:eastAsia="Arial" w:hAnsi="Arial" w:cs="Arial"/>
        </w:rPr>
        <w:t>c</w:t>
      </w:r>
      <w:bookmarkEnd w:id="39"/>
      <w:r w:rsidRPr="00A929A5">
        <w:rPr>
          <w:rFonts w:ascii="Arial" w:eastAsia="Arial" w:hAnsi="Arial" w:cs="Arial"/>
        </w:rPr>
        <w:t>orrection to the cross</w:t>
      </w:r>
      <w:r>
        <w:rPr>
          <w:rFonts w:ascii="Arial" w:eastAsia="Arial" w:hAnsi="Arial" w:cs="Arial"/>
        </w:rPr>
        <w:t>-</w:t>
      </w:r>
      <w:r w:rsidRPr="00A929A5">
        <w:rPr>
          <w:rFonts w:ascii="Arial" w:eastAsia="Arial" w:hAnsi="Arial" w:cs="Arial"/>
        </w:rPr>
        <w:t xml:space="preserve">reference for the definition of </w:t>
      </w:r>
      <w:r>
        <w:rPr>
          <w:rFonts w:ascii="Arial" w:eastAsia="Arial" w:hAnsi="Arial" w:cs="Arial"/>
        </w:rPr>
        <w:t>"</w:t>
      </w:r>
      <w:r w:rsidRPr="00A929A5">
        <w:rPr>
          <w:rFonts w:ascii="Arial" w:eastAsia="Arial" w:hAnsi="Arial" w:cs="Arial"/>
        </w:rPr>
        <w:t>full meal</w:t>
      </w:r>
      <w:r>
        <w:rPr>
          <w:rFonts w:ascii="Arial" w:eastAsia="Arial" w:hAnsi="Arial" w:cs="Arial"/>
        </w:rPr>
        <w:t>"</w:t>
      </w:r>
      <w:r w:rsidRPr="00A929A5">
        <w:rPr>
          <w:rFonts w:ascii="Arial" w:eastAsia="Arial" w:hAnsi="Arial" w:cs="Arial"/>
        </w:rPr>
        <w:t xml:space="preserve"> in the definition of "food order."</w:t>
      </w:r>
    </w:p>
    <w:p w:rsidR="00060F7D" w:rsidP="00060F7D">
      <w:pPr>
        <w:keepNext/>
        <w:spacing w:before="60" w:after="60"/>
        <w:ind w:left="360"/>
        <w:jc w:val="center"/>
        <w:rPr>
          <w:rFonts w:ascii="Arial" w:eastAsia="Arial" w:hAnsi="Arial" w:cs="Arial"/>
        </w:rPr>
      </w:pPr>
      <w:bookmarkStart w:id="42" w:name="_FISCAL_NOTE_REQUIRED__198c899a_739b_444"/>
      <w:bookmarkStart w:id="43" w:name="_PAR__3_a45ec5e3_35cb_4b3d_b747_a0f16d65"/>
      <w:bookmarkEnd w:id="41"/>
      <w:r>
        <w:rPr>
          <w:rFonts w:ascii="Arial" w:eastAsia="Arial" w:hAnsi="Arial" w:cs="Arial"/>
          <w:b/>
        </w:rPr>
        <w:t>FISCAL NOTE REQUIRED</w:t>
      </w:r>
    </w:p>
    <w:p w:rsidR="00000000" w:rsidRPr="00060F7D" w:rsidP="00060F7D">
      <w:pPr>
        <w:spacing w:before="60" w:after="60"/>
        <w:ind w:left="360"/>
        <w:jc w:val="center"/>
        <w:rPr>
          <w:rFonts w:ascii="Arial" w:eastAsia="Arial" w:hAnsi="Arial" w:cs="Arial"/>
          <w:b/>
        </w:rPr>
      </w:pPr>
      <w:bookmarkStart w:id="44" w:name="_PAR__4_6accaeb4_20fc_4a83_8c39_c3aa5909"/>
      <w:bookmarkEnd w:id="43"/>
      <w:r>
        <w:rPr>
          <w:rFonts w:ascii="Arial" w:eastAsia="Arial" w:hAnsi="Arial" w:cs="Arial"/>
          <w:b/>
        </w:rPr>
        <w:t>(See attached)</w:t>
      </w:r>
      <w:bookmarkEnd w:id="36"/>
      <w:bookmarkEnd w:id="40"/>
      <w:bookmarkEnd w:id="42"/>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LR0882,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Permanent the Ability of Certain Retailers and Distilleries to Sell Liquor for Off-premises Consumption and Cocktails for On-premises Consumption</w:t>
    </w:r>
  </w:p>
  <w:p>
    <w:pPr>
      <w:suppressLineNumbers/>
      <w:spacing w:before="0" w:after="0"/>
      <w:jc w:val="center"/>
      <w:rPr>
        <w:rFonts w:ascii="Arial" w:eastAsia="Arial" w:hAnsi="Arial" w:cs="Arial"/>
      </w:rPr>
    </w:pPr>
    <w:r>
      <w:rPr>
        <w:rFonts w:ascii="Arial" w:eastAsia="Arial" w:hAnsi="Arial" w:cs="Arial"/>
        <w:sz w:val="22"/>
      </w:rPr>
      <w:t>L.D. 201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0F7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929A5"/>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73C7C"/>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