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Eliminate Inactive Boards and Commissions</w:t>
      </w:r>
    </w:p>
    <w:p w:rsidR="004C26D2" w:rsidP="004C26D2">
      <w:pPr>
        <w:spacing w:after="240"/>
        <w:ind w:left="360"/>
        <w:jc w:val="right"/>
        <w:rPr>
          <w:rFonts w:ascii="Arial" w:eastAsia="Arial" w:hAnsi="Arial" w:cs="Arial"/>
          <w:caps/>
        </w:rPr>
      </w:pPr>
      <w:bookmarkStart w:id="0" w:name="_AMEND_TITLE__27910d4e_8951_4b81_b815_47"/>
      <w:bookmarkStart w:id="1" w:name="_PAGE__1_4bcdec82_de77_4147_8a7e_095fddd"/>
      <w:bookmarkStart w:id="2" w:name="_PAR__2_96f30bd6_a324_4c6f_8d48_ef1123b6"/>
      <w:r>
        <w:rPr>
          <w:rFonts w:ascii="Arial" w:eastAsia="Arial" w:hAnsi="Arial" w:cs="Arial"/>
          <w:caps/>
        </w:rPr>
        <w:t>L.D. 2228</w:t>
      </w:r>
    </w:p>
    <w:p w:rsidR="004C26D2" w:rsidP="004C26D2">
      <w:pPr>
        <w:tabs>
          <w:tab w:val="right" w:pos="8928"/>
        </w:tabs>
        <w:spacing w:after="360"/>
        <w:ind w:left="360"/>
        <w:rPr>
          <w:rFonts w:ascii="Arial" w:eastAsia="Arial" w:hAnsi="Arial" w:cs="Arial"/>
        </w:rPr>
      </w:pPr>
      <w:bookmarkStart w:id="3" w:name="_PAR__3_a05b951f_6b2c_43e0_a4ef_67fc598e"/>
      <w:bookmarkEnd w:id="2"/>
      <w:r>
        <w:rPr>
          <w:rFonts w:ascii="Arial" w:eastAsia="Arial" w:hAnsi="Arial" w:cs="Arial"/>
        </w:rPr>
        <w:t>Date:</w:t>
      </w:r>
      <w:r>
        <w:rPr>
          <w:rFonts w:ascii="Arial" w:eastAsia="Arial" w:hAnsi="Arial" w:cs="Arial"/>
        </w:rPr>
        <w:tab/>
        <w:t>(Filing No. H-         )</w:t>
      </w:r>
    </w:p>
    <w:p w:rsidR="004C26D2" w:rsidP="004C26D2">
      <w:pPr>
        <w:spacing w:before="600" w:after="300"/>
        <w:ind w:left="360"/>
        <w:jc w:val="center"/>
        <w:outlineLvl w:val="0"/>
        <w:rPr>
          <w:rFonts w:ascii="Arial" w:eastAsia="Arial" w:hAnsi="Arial" w:cs="Arial"/>
        </w:rPr>
      </w:pPr>
      <w:bookmarkStart w:id="4" w:name="_PAR__4_e8eadb3e_1e70_42c4_83b1_c69581f3"/>
      <w:bookmarkEnd w:id="3"/>
      <w:r>
        <w:rPr>
          <w:rFonts w:ascii="Arial" w:eastAsia="Arial" w:hAnsi="Arial" w:cs="Arial"/>
          <w:b/>
          <w:caps/>
          <w:sz w:val="24"/>
          <w:szCs w:val="32"/>
        </w:rPr>
        <w:t xml:space="preserve">State and Local Government </w:t>
      </w:r>
    </w:p>
    <w:p w:rsidR="004C26D2" w:rsidP="004C26D2">
      <w:pPr>
        <w:spacing w:before="60" w:after="60"/>
        <w:ind w:left="720"/>
        <w:rPr>
          <w:rFonts w:ascii="Arial" w:eastAsia="Arial" w:hAnsi="Arial" w:cs="Arial"/>
        </w:rPr>
      </w:pPr>
      <w:bookmarkStart w:id="5" w:name="_PAR__5_bd6724b1_0c69_4e05_bf63_cab588a6"/>
      <w:bookmarkEnd w:id="4"/>
      <w:r>
        <w:rPr>
          <w:rFonts w:ascii="Arial" w:eastAsia="Arial" w:hAnsi="Arial" w:cs="Arial"/>
        </w:rPr>
        <w:t>Reproduced and distributed under the direction of the Clerk of the House.</w:t>
      </w:r>
    </w:p>
    <w:p w:rsidR="004C26D2" w:rsidP="004C26D2">
      <w:pPr>
        <w:spacing w:before="160" w:after="0"/>
        <w:ind w:left="360"/>
        <w:jc w:val="center"/>
        <w:outlineLvl w:val="0"/>
        <w:rPr>
          <w:rFonts w:ascii="Arial" w:eastAsia="Arial" w:hAnsi="Arial" w:cs="Arial"/>
          <w:b/>
          <w:caps/>
          <w:sz w:val="24"/>
          <w:szCs w:val="32"/>
        </w:rPr>
      </w:pPr>
      <w:bookmarkStart w:id="6" w:name="_PAR__6_fba0269d_d81a_4fc8_a6af_6af46c3b"/>
      <w:bookmarkEnd w:id="5"/>
      <w:r>
        <w:rPr>
          <w:rFonts w:ascii="Arial" w:eastAsia="Arial" w:hAnsi="Arial" w:cs="Arial"/>
          <w:b/>
          <w:caps/>
          <w:sz w:val="24"/>
          <w:szCs w:val="32"/>
        </w:rPr>
        <w:t>STATE OF MAINE</w:t>
      </w:r>
    </w:p>
    <w:p w:rsidR="004C26D2" w:rsidP="004C26D2">
      <w:pPr>
        <w:spacing w:after="0"/>
        <w:ind w:left="360"/>
        <w:jc w:val="center"/>
        <w:outlineLvl w:val="0"/>
        <w:rPr>
          <w:rFonts w:ascii="Arial" w:eastAsia="Arial" w:hAnsi="Arial" w:cs="Arial"/>
          <w:b/>
          <w:caps/>
          <w:sz w:val="24"/>
          <w:szCs w:val="32"/>
        </w:rPr>
      </w:pPr>
      <w:bookmarkStart w:id="7" w:name="_PAR__7_857bdce3_03ff_4976_b9ed_25124700"/>
      <w:bookmarkEnd w:id="6"/>
      <w:r>
        <w:rPr>
          <w:rFonts w:ascii="Arial" w:eastAsia="Arial" w:hAnsi="Arial" w:cs="Arial"/>
          <w:b/>
          <w:caps/>
          <w:sz w:val="24"/>
          <w:szCs w:val="32"/>
        </w:rPr>
        <w:t>HOUSE OF REPRESENTATIVES</w:t>
      </w:r>
    </w:p>
    <w:p w:rsidR="004C26D2" w:rsidP="004C26D2">
      <w:pPr>
        <w:spacing w:after="0"/>
        <w:ind w:left="360"/>
        <w:jc w:val="center"/>
        <w:outlineLvl w:val="0"/>
        <w:rPr>
          <w:rFonts w:ascii="Arial" w:eastAsia="Arial" w:hAnsi="Arial" w:cs="Arial"/>
          <w:b/>
          <w:caps/>
          <w:sz w:val="24"/>
          <w:szCs w:val="32"/>
        </w:rPr>
      </w:pPr>
      <w:bookmarkStart w:id="8" w:name="_PAR__8_fc6e0fa6_16c9_4517_859f_ce999557"/>
      <w:bookmarkEnd w:id="7"/>
      <w:r>
        <w:rPr>
          <w:rFonts w:ascii="Arial" w:eastAsia="Arial" w:hAnsi="Arial" w:cs="Arial"/>
          <w:b/>
          <w:caps/>
          <w:sz w:val="24"/>
          <w:szCs w:val="32"/>
        </w:rPr>
        <w:t>132nd Legislature</w:t>
      </w:r>
    </w:p>
    <w:p w:rsidR="004C26D2" w:rsidP="004C26D2">
      <w:pPr>
        <w:spacing w:after="0"/>
        <w:ind w:left="360"/>
        <w:jc w:val="center"/>
        <w:outlineLvl w:val="0"/>
        <w:rPr>
          <w:rFonts w:ascii="Arial" w:eastAsia="Arial" w:hAnsi="Arial" w:cs="Arial"/>
          <w:b/>
          <w:caps/>
          <w:sz w:val="24"/>
          <w:szCs w:val="32"/>
        </w:rPr>
      </w:pPr>
      <w:bookmarkStart w:id="9" w:name="_PAR__9_86f3ae7f_72b7_4605_b462_e33c5182"/>
      <w:bookmarkEnd w:id="8"/>
      <w:r>
        <w:rPr>
          <w:rFonts w:ascii="Arial" w:eastAsia="Arial" w:hAnsi="Arial" w:cs="Arial"/>
          <w:b/>
          <w:caps/>
          <w:sz w:val="24"/>
          <w:szCs w:val="32"/>
        </w:rPr>
        <w:t>Second Regular Session</w:t>
      </w:r>
    </w:p>
    <w:p w:rsidR="004C26D2" w:rsidP="004C26D2">
      <w:pPr>
        <w:spacing w:before="400" w:after="200"/>
        <w:ind w:left="360" w:firstLine="360"/>
        <w:rPr>
          <w:rFonts w:ascii="Arial" w:eastAsia="Arial" w:hAnsi="Arial" w:cs="Arial"/>
        </w:rPr>
      </w:pPr>
      <w:bookmarkStart w:id="10" w:name="_PAR__10_73f33f70_16f3_4bcb_8485_932bf06"/>
      <w:bookmarkEnd w:id="9"/>
      <w:r>
        <w:rPr>
          <w:rFonts w:ascii="Arial" w:eastAsia="Arial" w:hAnsi="Arial" w:cs="Arial"/>
          <w:szCs w:val="22"/>
        </w:rPr>
        <w:t>COMMITTEE AMENDMENT “      ” to H.P. 1505, L.D. 2228, “An Act to Eliminate Inactive Boards and Commissions”</w:t>
      </w:r>
    </w:p>
    <w:p w:rsidR="004C26D2" w:rsidP="004C26D2">
      <w:pPr>
        <w:ind w:left="360" w:firstLine="360"/>
        <w:rPr>
          <w:rFonts w:ascii="Arial" w:eastAsia="Arial" w:hAnsi="Arial" w:cs="Arial"/>
        </w:rPr>
      </w:pPr>
      <w:bookmarkStart w:id="11" w:name="_INSTRUCTION__91b7306b_fa51_4de4_9f79_3a"/>
      <w:bookmarkStart w:id="12" w:name="_PAR__11_52a056c8_9e69_485e_aed1_9378574"/>
      <w:bookmarkEnd w:id="0"/>
      <w:bookmarkEnd w:id="10"/>
      <w:r>
        <w:rPr>
          <w:rFonts w:ascii="Arial" w:eastAsia="Arial" w:hAnsi="Arial" w:cs="Arial"/>
        </w:rPr>
        <w:t>Amend the bill by striking out everything after the enacting clause and inserting the following:</w:t>
      </w:r>
    </w:p>
    <w:p w:rsidR="004C26D2" w:rsidP="004C26D2">
      <w:pPr>
        <w:ind w:left="360" w:firstLine="360"/>
        <w:rPr>
          <w:rFonts w:ascii="Arial" w:eastAsia="Arial" w:hAnsi="Arial" w:cs="Arial"/>
        </w:rPr>
      </w:pPr>
      <w:bookmarkStart w:id="13" w:name="_PAR__12_0a051ca2_068b_4477_a501_2908884"/>
      <w:bookmarkEnd w:id="12"/>
      <w:r>
        <w:rPr>
          <w:rFonts w:ascii="Arial" w:eastAsia="Arial" w:hAnsi="Arial" w:cs="Arial"/>
        </w:rPr>
        <w:t>'</w:t>
      </w:r>
      <w:r>
        <w:rPr>
          <w:rFonts w:ascii="Arial" w:eastAsia="Arial" w:hAnsi="Arial" w:cs="Arial"/>
          <w:b/>
          <w:sz w:val="24"/>
        </w:rPr>
        <w:t>Sec. 1.  5 MRSA §12004-G, sub-§10-E,</w:t>
      </w:r>
      <w:r>
        <w:rPr>
          <w:rFonts w:ascii="Arial" w:eastAsia="Arial" w:hAnsi="Arial" w:cs="Arial"/>
        </w:rPr>
        <w:t xml:space="preserve"> as enacted by PL 2013, c. 593, §1, is repealed.</w:t>
      </w:r>
    </w:p>
    <w:p w:rsidR="004C26D2" w:rsidP="004C26D2">
      <w:pPr>
        <w:ind w:left="360" w:firstLine="360"/>
        <w:rPr>
          <w:rFonts w:ascii="Arial" w:eastAsia="Arial" w:hAnsi="Arial" w:cs="Arial"/>
        </w:rPr>
      </w:pPr>
      <w:bookmarkStart w:id="14" w:name="_PAR__13_688510ef_13be_438c_b9a9_630837d"/>
      <w:bookmarkEnd w:id="13"/>
      <w:r>
        <w:rPr>
          <w:rFonts w:ascii="Arial" w:eastAsia="Arial" w:hAnsi="Arial" w:cs="Arial"/>
          <w:b/>
          <w:sz w:val="24"/>
        </w:rPr>
        <w:t>Sec. 2.  5 MRSA §12004-G, sub-§29-D,</w:t>
      </w:r>
      <w:r>
        <w:rPr>
          <w:rFonts w:ascii="Arial" w:eastAsia="Arial" w:hAnsi="Arial" w:cs="Arial"/>
        </w:rPr>
        <w:t xml:space="preserve"> as enacted by PL 2011, c. 366, §1, is repealed.</w:t>
      </w:r>
    </w:p>
    <w:p w:rsidR="004C26D2" w:rsidP="004C26D2">
      <w:pPr>
        <w:ind w:left="360" w:firstLine="360"/>
        <w:rPr>
          <w:rFonts w:ascii="Arial" w:eastAsia="Arial" w:hAnsi="Arial" w:cs="Arial"/>
        </w:rPr>
      </w:pPr>
      <w:bookmarkStart w:id="15" w:name="_PAR__14_05d1ee63_d340_45b0_a970_e9dfe29"/>
      <w:bookmarkEnd w:id="14"/>
      <w:r>
        <w:rPr>
          <w:rFonts w:ascii="Arial" w:eastAsia="Arial" w:hAnsi="Arial" w:cs="Arial"/>
          <w:b/>
          <w:sz w:val="24"/>
        </w:rPr>
        <w:t>Sec. 3.  5 MRSA §12004-I, sub-§74-H,</w:t>
      </w:r>
      <w:r>
        <w:rPr>
          <w:rFonts w:ascii="Arial" w:eastAsia="Arial" w:hAnsi="Arial" w:cs="Arial"/>
        </w:rPr>
        <w:t xml:space="preserve"> as enacted by PL 2013, c. 316, §1 and affected by §5, is repealed.</w:t>
      </w:r>
    </w:p>
    <w:p w:rsidR="004C26D2" w:rsidP="004C26D2">
      <w:pPr>
        <w:ind w:left="360" w:firstLine="360"/>
        <w:rPr>
          <w:rFonts w:ascii="Arial" w:eastAsia="Arial" w:hAnsi="Arial" w:cs="Arial"/>
        </w:rPr>
      </w:pPr>
      <w:bookmarkStart w:id="16" w:name="_PAR__15_95059e92_453a_4585_ab79_76109ac"/>
      <w:bookmarkEnd w:id="15"/>
      <w:r>
        <w:rPr>
          <w:rFonts w:ascii="Arial" w:eastAsia="Arial" w:hAnsi="Arial" w:cs="Arial"/>
          <w:b/>
          <w:sz w:val="24"/>
        </w:rPr>
        <w:t>Sec. 4.  20-A MRSA c. 437, headnote</w:t>
      </w:r>
      <w:r>
        <w:rPr>
          <w:rFonts w:ascii="Arial" w:eastAsia="Arial" w:hAnsi="Arial" w:cs="Arial"/>
        </w:rPr>
        <w:t xml:space="preserve"> is amended to read:</w:t>
      </w:r>
    </w:p>
    <w:p w:rsidR="004C26D2" w:rsidP="004C26D2">
      <w:pPr>
        <w:spacing w:before="300" w:after="300"/>
        <w:ind w:left="360"/>
        <w:jc w:val="center"/>
        <w:rPr>
          <w:rFonts w:ascii="Arial" w:eastAsia="Arial" w:hAnsi="Arial" w:cs="Arial"/>
        </w:rPr>
      </w:pPr>
      <w:bookmarkStart w:id="17" w:name="_PAR__16_d1f6d891_ed42_41f6_9a9a_7a113b4"/>
      <w:bookmarkEnd w:id="16"/>
      <w:r>
        <w:rPr>
          <w:rFonts w:ascii="Arial" w:eastAsia="Arial" w:hAnsi="Arial" w:cs="Arial"/>
          <w:b/>
        </w:rPr>
        <w:t>CHAPTER 437</w:t>
      </w:r>
    </w:p>
    <w:p w:rsidR="004C26D2" w:rsidP="004C26D2">
      <w:pPr>
        <w:spacing w:before="300" w:after="300"/>
        <w:ind w:left="360"/>
        <w:jc w:val="center"/>
        <w:rPr>
          <w:rFonts w:ascii="Arial" w:eastAsia="Arial" w:hAnsi="Arial" w:cs="Arial"/>
        </w:rPr>
      </w:pPr>
      <w:bookmarkStart w:id="18" w:name="_PAR__17_00c64a6f_706c_483a_a2e2_77889f7"/>
      <w:bookmarkEnd w:id="17"/>
      <w:r>
        <w:rPr>
          <w:rFonts w:ascii="Arial" w:eastAsia="Arial" w:hAnsi="Arial" w:cs="Arial"/>
          <w:b/>
          <w:strike/>
        </w:rPr>
        <w:t>STATE EDUCATION AND EMPLOYMENT OUTCOMES TASK FORCE</w:t>
      </w:r>
      <w:r>
        <w:rPr>
          <w:rFonts w:ascii="Arial" w:eastAsia="Arial" w:hAnsi="Arial" w:cs="Arial"/>
          <w:b/>
        </w:rPr>
        <w:t xml:space="preserve"> </w:t>
      </w:r>
      <w:r>
        <w:rPr>
          <w:rFonts w:ascii="Arial" w:eastAsia="Arial" w:hAnsi="Arial" w:cs="Arial"/>
          <w:b/>
          <w:u w:val="single"/>
        </w:rPr>
        <w:t>EDUCATIONAL OUTCOME DATABASE</w:t>
      </w:r>
    </w:p>
    <w:p w:rsidR="004C26D2" w:rsidP="004C26D2">
      <w:pPr>
        <w:ind w:left="360" w:firstLine="360"/>
        <w:rPr>
          <w:rFonts w:ascii="Arial" w:eastAsia="Arial" w:hAnsi="Arial" w:cs="Arial"/>
        </w:rPr>
      </w:pPr>
      <w:bookmarkStart w:id="19" w:name="_PAR__18_efd524bc_15f9_4926_bf24_96e9424"/>
      <w:bookmarkEnd w:id="18"/>
      <w:r>
        <w:rPr>
          <w:rFonts w:ascii="Arial" w:eastAsia="Arial" w:hAnsi="Arial" w:cs="Arial"/>
          <w:b/>
          <w:sz w:val="24"/>
        </w:rPr>
        <w:t>Sec. 5.  20-A MRSA §12901,</w:t>
      </w:r>
      <w:r>
        <w:rPr>
          <w:rFonts w:ascii="Arial" w:eastAsia="Arial" w:hAnsi="Arial" w:cs="Arial"/>
        </w:rPr>
        <w:t xml:space="preserve"> as enacted by PL 2013, c. 593, §2, is repealed.</w:t>
      </w:r>
    </w:p>
    <w:p w:rsidR="004C26D2" w:rsidP="004C26D2">
      <w:pPr>
        <w:ind w:left="360" w:firstLine="360"/>
        <w:rPr>
          <w:rFonts w:ascii="Arial" w:eastAsia="Arial" w:hAnsi="Arial" w:cs="Arial"/>
        </w:rPr>
      </w:pPr>
      <w:bookmarkStart w:id="20" w:name="_PAR__19_83a725cd_dd3f_4fe0_ae1a_875727e"/>
      <w:bookmarkEnd w:id="19"/>
      <w:r>
        <w:rPr>
          <w:rFonts w:ascii="Arial" w:eastAsia="Arial" w:hAnsi="Arial" w:cs="Arial"/>
          <w:b/>
          <w:sz w:val="24"/>
        </w:rPr>
        <w:t>Sec. 6.  20-A MRSA §12902, first ¶,</w:t>
      </w:r>
      <w:r>
        <w:rPr>
          <w:rFonts w:ascii="Arial" w:eastAsia="Arial" w:hAnsi="Arial" w:cs="Arial"/>
        </w:rPr>
        <w:t xml:space="preserve"> as enacted by PL 2021, c. 243, §1, is amended to read:</w:t>
      </w:r>
    </w:p>
    <w:p w:rsidR="004C26D2" w:rsidP="004C26D2">
      <w:pPr>
        <w:ind w:left="360" w:firstLine="360"/>
        <w:rPr>
          <w:rFonts w:ascii="Arial" w:eastAsia="Arial" w:hAnsi="Arial" w:cs="Arial"/>
        </w:rPr>
      </w:pPr>
      <w:bookmarkStart w:id="21" w:name="_PAR__20_e2c5dbd4_ebc1_43c0_a65e_14911b7"/>
      <w:bookmarkEnd w:id="20"/>
      <w:r>
        <w:rPr>
          <w:rFonts w:ascii="Arial" w:eastAsia="Arial" w:hAnsi="Arial" w:cs="Arial"/>
        </w:rPr>
        <w:t xml:space="preserve">No later than January 1, 2022, and biennially thereafter, the Department of Labor, in consultation with the Department of Education </w:t>
      </w:r>
      <w:r>
        <w:rPr>
          <w:rFonts w:ascii="Arial" w:eastAsia="Arial" w:hAnsi="Arial" w:cs="Arial"/>
          <w:strike/>
        </w:rPr>
        <w:t>and the task force</w:t>
      </w:r>
      <w:r>
        <w:rPr>
          <w:rFonts w:ascii="Arial" w:eastAsia="Arial" w:hAnsi="Arial" w:cs="Arial"/>
        </w:rPr>
        <w:t xml:space="preserve">, shall update the </w:t>
      </w:r>
      <w:r>
        <w:rPr>
          <w:rFonts w:ascii="Arial" w:eastAsia="Arial" w:hAnsi="Arial" w:cs="Arial"/>
          <w:u w:val="single"/>
        </w:rPr>
        <w:t>educational outcome</w:t>
      </w:r>
      <w:r>
        <w:rPr>
          <w:rFonts w:ascii="Arial" w:eastAsia="Arial" w:hAnsi="Arial" w:cs="Arial"/>
        </w:rPr>
        <w:t xml:space="preserve"> database.  </w:t>
      </w:r>
      <w:r>
        <w:rPr>
          <w:rFonts w:ascii="Arial" w:eastAsia="Arial" w:hAnsi="Arial" w:cs="Arial"/>
          <w:u w:val="single"/>
        </w:rPr>
        <w:t>For the purposes of this section, "educational outcome database" means the Department of Labor's educational outcome database, which includes but is not limited to information and data on education results, program completion, graduation, credentials earned and employment and earnings outcomes for graduates of postsecondary educational institutions in the State over time.</w:t>
      </w:r>
    </w:p>
    <w:p w:rsidR="004C26D2" w:rsidP="004C26D2">
      <w:pPr>
        <w:ind w:left="360" w:firstLine="360"/>
        <w:rPr>
          <w:rFonts w:ascii="Arial" w:eastAsia="Arial" w:hAnsi="Arial" w:cs="Arial"/>
        </w:rPr>
      </w:pPr>
      <w:bookmarkStart w:id="22" w:name="_PAGE__2_e554f059_0f65_4da8_a3e7_ac07eca"/>
      <w:bookmarkStart w:id="23" w:name="_PAR__2_3db98f3f_a14c_43fb_b324_53405e61"/>
      <w:bookmarkEnd w:id="1"/>
      <w:bookmarkEnd w:id="21"/>
      <w:r>
        <w:rPr>
          <w:rFonts w:ascii="Arial" w:eastAsia="Arial" w:hAnsi="Arial" w:cs="Arial"/>
          <w:b/>
          <w:sz w:val="24"/>
        </w:rPr>
        <w:t>Sec. 7.  32 MRSA §7352, sub-§1,</w:t>
      </w:r>
      <w:r>
        <w:rPr>
          <w:rFonts w:ascii="Arial" w:eastAsia="Arial" w:hAnsi="Arial" w:cs="Arial"/>
        </w:rPr>
        <w:t xml:space="preserve"> as enacted by PL 2013, c. 316, §3 and affected by §5, is repealed.</w:t>
      </w:r>
    </w:p>
    <w:p w:rsidR="004C26D2" w:rsidP="004C26D2">
      <w:pPr>
        <w:ind w:left="360" w:firstLine="360"/>
        <w:rPr>
          <w:rFonts w:ascii="Arial" w:eastAsia="Arial" w:hAnsi="Arial" w:cs="Arial"/>
        </w:rPr>
      </w:pPr>
      <w:bookmarkStart w:id="24" w:name="_PAR__3_d9050145_9858_4895_93f5_b5162b29"/>
      <w:bookmarkEnd w:id="23"/>
      <w:r>
        <w:rPr>
          <w:rFonts w:ascii="Arial" w:eastAsia="Arial" w:hAnsi="Arial" w:cs="Arial"/>
          <w:b/>
          <w:sz w:val="24"/>
        </w:rPr>
        <w:t>Sec. 8.  32 MRSA §7353, sub-§3,</w:t>
      </w:r>
      <w:r>
        <w:rPr>
          <w:rFonts w:ascii="Arial" w:eastAsia="Arial" w:hAnsi="Arial" w:cs="Arial"/>
        </w:rPr>
        <w:t xml:space="preserve"> as enacted by PL 2013, c. 316, §3 and affected by §5, is repealed.</w:t>
      </w:r>
    </w:p>
    <w:p w:rsidR="004C26D2" w:rsidP="004C26D2">
      <w:pPr>
        <w:ind w:left="360" w:firstLine="360"/>
        <w:rPr>
          <w:rFonts w:ascii="Arial" w:eastAsia="Arial" w:hAnsi="Arial" w:cs="Arial"/>
        </w:rPr>
      </w:pPr>
      <w:bookmarkStart w:id="25" w:name="_PAR__4_f493321f_e0f7_424c_a7c2_aa330ff0"/>
      <w:bookmarkEnd w:id="24"/>
      <w:r>
        <w:rPr>
          <w:rFonts w:ascii="Arial" w:eastAsia="Arial" w:hAnsi="Arial" w:cs="Arial"/>
          <w:b/>
          <w:sz w:val="24"/>
        </w:rPr>
        <w:t>Sec. 9.  32 MRSA c. 86, sub-c. 3,</w:t>
      </w:r>
      <w:r>
        <w:rPr>
          <w:rFonts w:ascii="Arial" w:eastAsia="Arial" w:hAnsi="Arial" w:cs="Arial"/>
        </w:rPr>
        <w:t xml:space="preserve"> as amended, is repealed.</w:t>
      </w:r>
    </w:p>
    <w:p w:rsidR="004C26D2" w:rsidP="004C26D2">
      <w:pPr>
        <w:ind w:left="360" w:firstLine="360"/>
        <w:rPr>
          <w:rFonts w:ascii="Arial" w:eastAsia="Arial" w:hAnsi="Arial" w:cs="Arial"/>
        </w:rPr>
      </w:pPr>
      <w:bookmarkStart w:id="26" w:name="_PAR__5_799e881a_8b2d_45fa_9b25_236e3c5f"/>
      <w:bookmarkEnd w:id="25"/>
      <w:r>
        <w:rPr>
          <w:rFonts w:ascii="Arial" w:eastAsia="Arial" w:hAnsi="Arial" w:cs="Arial"/>
          <w:b/>
          <w:sz w:val="24"/>
        </w:rPr>
        <w:t>Sec. 10.  32 MRSA §8103, sub-§1-A,</w:t>
      </w:r>
      <w:r>
        <w:rPr>
          <w:rFonts w:ascii="Arial" w:eastAsia="Arial" w:hAnsi="Arial" w:cs="Arial"/>
        </w:rPr>
        <w:t xml:space="preserve"> as enacted by PL 2011, c. 366, §9, is repealed.</w:t>
      </w:r>
    </w:p>
    <w:p w:rsidR="004C26D2" w:rsidP="004C26D2">
      <w:pPr>
        <w:ind w:left="360" w:firstLine="360"/>
        <w:rPr>
          <w:rFonts w:ascii="Arial" w:eastAsia="Arial" w:hAnsi="Arial" w:cs="Arial"/>
        </w:rPr>
      </w:pPr>
      <w:bookmarkStart w:id="27" w:name="_PAR__6_8d7ce414_f0a3_4807_90eb_f4ad8ec3"/>
      <w:bookmarkEnd w:id="26"/>
      <w:r>
        <w:rPr>
          <w:rFonts w:ascii="Arial" w:eastAsia="Arial" w:hAnsi="Arial" w:cs="Arial"/>
          <w:b/>
          <w:sz w:val="24"/>
        </w:rPr>
        <w:t>Sec. 11.  32 MRSA §8103-A,</w:t>
      </w:r>
      <w:r>
        <w:rPr>
          <w:rFonts w:ascii="Arial" w:eastAsia="Arial" w:hAnsi="Arial" w:cs="Arial"/>
        </w:rPr>
        <w:t xml:space="preserve"> as enacted by PL 2011, c. 366, §16, is repealed.</w:t>
      </w:r>
    </w:p>
    <w:p w:rsidR="004C26D2" w:rsidP="004C26D2">
      <w:pPr>
        <w:ind w:left="360" w:firstLine="360"/>
        <w:rPr>
          <w:rFonts w:ascii="Arial" w:eastAsia="Arial" w:hAnsi="Arial" w:cs="Arial"/>
        </w:rPr>
      </w:pPr>
      <w:bookmarkStart w:id="28" w:name="_PAR__7_f45a2c0a_bbee_4ce3_83f4_4b0a0cab"/>
      <w:bookmarkEnd w:id="27"/>
      <w:r>
        <w:rPr>
          <w:rFonts w:ascii="Arial" w:eastAsia="Arial" w:hAnsi="Arial" w:cs="Arial"/>
          <w:b/>
          <w:sz w:val="24"/>
        </w:rPr>
        <w:t>Sec. 12.  32 MRSA §8116, sub-§3,</w:t>
      </w:r>
      <w:r>
        <w:rPr>
          <w:rFonts w:ascii="Arial" w:eastAsia="Arial" w:hAnsi="Arial" w:cs="Arial"/>
        </w:rPr>
        <w:t xml:space="preserve"> as amended by PL 2011, c. 366, §49, is further amended to read:</w:t>
      </w:r>
    </w:p>
    <w:p w:rsidR="004C26D2" w:rsidP="004C26D2">
      <w:pPr>
        <w:ind w:left="360" w:firstLine="360"/>
        <w:rPr>
          <w:rFonts w:ascii="Arial" w:eastAsia="Arial" w:hAnsi="Arial" w:cs="Arial"/>
        </w:rPr>
      </w:pPr>
      <w:bookmarkStart w:id="29" w:name="_PAR__8_33a17d00_541f_4c4f_b916_0dad758f"/>
      <w:bookmarkEnd w:id="28"/>
      <w:r>
        <w:rPr>
          <w:rFonts w:ascii="Arial" w:eastAsia="Arial" w:hAnsi="Arial" w:cs="Arial"/>
          <w:b/>
        </w:rPr>
        <w:t xml:space="preserve">3.  Rules. </w:t>
      </w:r>
      <w:r>
        <w:rPr>
          <w:rFonts w:ascii="Arial" w:eastAsia="Arial" w:hAnsi="Arial" w:cs="Arial"/>
        </w:rPr>
        <w:t xml:space="preserve"> The chief </w:t>
      </w:r>
      <w:r>
        <w:rPr>
          <w:rFonts w:ascii="Arial" w:eastAsia="Arial" w:hAnsi="Arial" w:cs="Arial"/>
          <w:strike/>
        </w:rPr>
        <w:t>with the advice of the board</w:t>
      </w:r>
      <w:r>
        <w:rPr>
          <w:rFonts w:ascii="Arial" w:eastAsia="Arial" w:hAnsi="Arial" w:cs="Arial"/>
        </w:rPr>
        <w:t xml:space="preserve"> may adopt rules necessary to administer this chapter, including, but not limited to, rules regarding standards of acceptable professional conduct and training requirements for and sponsorship of investigative assistants.  Rules adopted pursuant to this subsection are routine technical rules as defined in Title 5, chapter 375, subchapter 2‑A.</w:t>
      </w:r>
    </w:p>
    <w:p w:rsidR="004C26D2" w:rsidP="004C26D2">
      <w:pPr>
        <w:ind w:left="360" w:firstLine="360"/>
        <w:rPr>
          <w:rFonts w:ascii="Arial" w:eastAsia="Arial" w:hAnsi="Arial" w:cs="Arial"/>
        </w:rPr>
      </w:pPr>
      <w:bookmarkStart w:id="30" w:name="_PAR__9_2668afdf_e503_430b_b517_4b7b6d22"/>
      <w:bookmarkEnd w:id="29"/>
      <w:r>
        <w:rPr>
          <w:rFonts w:ascii="Arial" w:eastAsia="Arial" w:hAnsi="Arial" w:cs="Arial"/>
          <w:b/>
          <w:sz w:val="24"/>
        </w:rPr>
        <w:t>Sec. 13.  32 MRSA §8124, first ¶,</w:t>
      </w:r>
      <w:r>
        <w:rPr>
          <w:rFonts w:ascii="Arial" w:eastAsia="Arial" w:hAnsi="Arial" w:cs="Arial"/>
        </w:rPr>
        <w:t xml:space="preserve"> as enacted by PL 2015, c. 295, §1, is amended to read:</w:t>
      </w:r>
    </w:p>
    <w:p w:rsidR="004C26D2" w:rsidP="004C26D2">
      <w:pPr>
        <w:ind w:left="360" w:firstLine="360"/>
        <w:rPr>
          <w:rFonts w:ascii="Arial" w:eastAsia="Arial" w:hAnsi="Arial" w:cs="Arial"/>
        </w:rPr>
      </w:pPr>
      <w:bookmarkStart w:id="31" w:name="_PAR__10_09a58ddc_aed7_4eae_a72d_228bdb8"/>
      <w:bookmarkEnd w:id="30"/>
      <w:r>
        <w:rPr>
          <w:rFonts w:ascii="Arial" w:eastAsia="Arial" w:hAnsi="Arial" w:cs="Arial"/>
        </w:rPr>
        <w:t xml:space="preserve">The home address and home telephone number of a professional investigator or investigative assistant obtained by the State under this chapter are confidential and may not be disclosed </w:t>
      </w:r>
      <w:r>
        <w:rPr>
          <w:rFonts w:ascii="Arial" w:eastAsia="Arial" w:hAnsi="Arial" w:cs="Arial"/>
          <w:strike/>
        </w:rPr>
        <w:t>by the board</w:t>
      </w:r>
      <w:r>
        <w:rPr>
          <w:rFonts w:ascii="Arial" w:eastAsia="Arial" w:hAnsi="Arial" w:cs="Arial"/>
        </w:rPr>
        <w:t xml:space="preserve"> except by written consent of the subject of the information, by court order, for criminal justice purposes or for permitting purposes by law enforcement agencies or permitting authorities.</w:t>
      </w:r>
    </w:p>
    <w:p w:rsidR="004C26D2" w:rsidP="004C26D2">
      <w:pPr>
        <w:ind w:left="360" w:firstLine="360"/>
        <w:rPr>
          <w:rFonts w:ascii="Arial" w:eastAsia="Arial" w:hAnsi="Arial" w:cs="Arial"/>
        </w:rPr>
      </w:pPr>
      <w:bookmarkStart w:id="32" w:name="_PAR__11_7582302e_1bb5_4dd7_8494_e118f8d"/>
      <w:bookmarkEnd w:id="31"/>
      <w:r>
        <w:rPr>
          <w:rFonts w:ascii="Arial" w:eastAsia="Arial" w:hAnsi="Arial" w:cs="Arial"/>
          <w:b/>
          <w:sz w:val="24"/>
        </w:rPr>
        <w:t>Sec. 14.  Appropriations and allocations.</w:t>
      </w:r>
      <w:r>
        <w:rPr>
          <w:rFonts w:ascii="Arial" w:eastAsia="Arial" w:hAnsi="Arial" w:cs="Arial"/>
        </w:rPr>
        <w:t>  The following appropriations and allocations are made.</w:t>
      </w:r>
    </w:p>
    <w:p w:rsidR="004C26D2" w:rsidP="004C26D2">
      <w:pPr>
        <w:pStyle w:val="BPSParagraphLeftAlign"/>
        <w:suppressAutoHyphens/>
        <w:ind w:left="360"/>
        <w:rPr>
          <w:rFonts w:ascii="Arial" w:eastAsia="Arial" w:hAnsi="Arial" w:cs="Arial"/>
        </w:rPr>
      </w:pPr>
      <w:bookmarkStart w:id="33" w:name="_PAR__12_4f4a2b0f_95ab_4d6f_9b9b_60233d3"/>
      <w:bookmarkEnd w:id="32"/>
      <w:r>
        <w:rPr>
          <w:rFonts w:ascii="Arial" w:eastAsia="Arial" w:hAnsi="Arial" w:cs="Arial"/>
          <w:b/>
        </w:rPr>
        <w:t>LEGISLATURE</w:t>
      </w:r>
    </w:p>
    <w:p w:rsidR="004C26D2" w:rsidP="004C26D2">
      <w:pPr>
        <w:pStyle w:val="BPSParagraphLeftAlign"/>
        <w:suppressAutoHyphens/>
        <w:ind w:left="360"/>
        <w:rPr>
          <w:rFonts w:ascii="Arial" w:eastAsia="Arial" w:hAnsi="Arial" w:cs="Arial"/>
        </w:rPr>
      </w:pPr>
      <w:bookmarkStart w:id="34" w:name="_PAR__13_c241b40f_26a3_48d8_a934_e50c14d"/>
      <w:bookmarkEnd w:id="33"/>
      <w:r>
        <w:rPr>
          <w:rFonts w:ascii="Arial" w:eastAsia="Arial" w:hAnsi="Arial" w:cs="Arial"/>
          <w:b/>
        </w:rPr>
        <w:t>Legislature 0081</w:t>
      </w:r>
    </w:p>
    <w:p w:rsidR="004C26D2" w:rsidP="004C26D2">
      <w:pPr>
        <w:ind w:left="360"/>
        <w:rPr>
          <w:rFonts w:ascii="Arial" w:eastAsia="Arial" w:hAnsi="Arial" w:cs="Arial"/>
        </w:rPr>
      </w:pPr>
      <w:bookmarkStart w:id="35" w:name="_PAR__14_c13b28ec_beeb_488c_a0b1_703cee1"/>
      <w:bookmarkEnd w:id="34"/>
      <w:r>
        <w:rPr>
          <w:rFonts w:ascii="Arial" w:eastAsia="Arial" w:hAnsi="Arial" w:cs="Arial"/>
        </w:rPr>
        <w:t>Initiative: Deappropriates the Legislature's funding for the eliminated State Education and Employment Outcomes Task Force.</w:t>
      </w:r>
    </w:p>
    <w:tbl>
      <w:tblPr>
        <w:tblStyle w:val="BPSTable"/>
        <w:tblW w:w="0" w:type="auto"/>
        <w:tblInd w:w="360" w:type="dxa"/>
        <w:tblCellMar>
          <w:left w:w="0" w:type="dxa"/>
          <w:right w:w="0" w:type="dxa"/>
        </w:tblCellMar>
        <w:tblLook w:val="04A0"/>
      </w:tblPr>
      <w:tblGrid>
        <w:gridCol w:w="5009"/>
        <w:gridCol w:w="1463"/>
        <w:gridCol w:w="1463"/>
      </w:tblGrid>
      <w:tr w:rsidTr="00C2608F">
        <w:tblPrEx>
          <w:tblW w:w="0" w:type="auto"/>
          <w:tblInd w:w="360" w:type="dxa"/>
          <w:tblCellMar>
            <w:left w:w="0" w:type="dxa"/>
            <w:right w:w="0" w:type="dxa"/>
          </w:tblCellMar>
          <w:tblLook w:val="04A0"/>
        </w:tblPrEx>
        <w:tc>
          <w:tcPr>
            <w:tcW w:w="5069" w:type="dxa"/>
          </w:tcPr>
          <w:p w:rsidR="004C26D2" w:rsidP="00C2608F">
            <w:pPr>
              <w:spacing w:before="0" w:after="0"/>
              <w:rPr>
                <w:rFonts w:ascii="Arial" w:eastAsia="Arial" w:hAnsi="Arial" w:cs="Arial"/>
              </w:rPr>
            </w:pPr>
            <w:bookmarkStart w:id="36" w:name="_PAR__15_722975b5_5ecf_46d1_a3a1_75bb862"/>
            <w:bookmarkStart w:id="37" w:name="_LINE__29_c0f3ca03_47f0_4f0f_b9f3_394629"/>
            <w:bookmarkEnd w:id="35"/>
            <w:r>
              <w:rPr>
                <w:rFonts w:ascii="Arial" w:eastAsia="Arial" w:hAnsi="Arial" w:cs="Arial"/>
                <w:b/>
              </w:rPr>
              <w:t>GENERAL FUND</w:t>
            </w:r>
            <w:bookmarkEnd w:id="37"/>
          </w:p>
        </w:tc>
        <w:tc>
          <w:tcPr>
            <w:tcW w:w="1469" w:type="dxa"/>
          </w:tcPr>
          <w:p w:rsidR="004C26D2" w:rsidP="00C2608F">
            <w:pPr>
              <w:spacing w:before="0" w:after="0"/>
              <w:jc w:val="right"/>
              <w:rPr>
                <w:rFonts w:ascii="Arial" w:eastAsia="Arial" w:hAnsi="Arial" w:cs="Arial"/>
              </w:rPr>
            </w:pPr>
            <w:bookmarkStart w:id="38" w:name="_LINE__29_11d665de_af2f_4a63_bee1_a72e07"/>
            <w:r>
              <w:rPr>
                <w:rFonts w:ascii="Arial" w:eastAsia="Arial" w:hAnsi="Arial" w:cs="Arial"/>
                <w:b/>
              </w:rPr>
              <w:t>2025-26</w:t>
            </w:r>
            <w:bookmarkEnd w:id="38"/>
          </w:p>
        </w:tc>
        <w:tc>
          <w:tcPr>
            <w:tcW w:w="1469" w:type="dxa"/>
          </w:tcPr>
          <w:p w:rsidR="004C26D2" w:rsidP="00C2608F">
            <w:pPr>
              <w:spacing w:before="0" w:after="0"/>
              <w:jc w:val="right"/>
              <w:rPr>
                <w:rFonts w:ascii="Arial" w:eastAsia="Arial" w:hAnsi="Arial" w:cs="Arial"/>
              </w:rPr>
            </w:pPr>
            <w:bookmarkStart w:id="39" w:name="_LINE__29_b965a3b7_f027_4d3d_b426_953548"/>
            <w:r>
              <w:rPr>
                <w:rFonts w:ascii="Arial" w:eastAsia="Arial" w:hAnsi="Arial" w:cs="Arial"/>
                <w:b/>
              </w:rPr>
              <w:t>2026-27</w:t>
            </w:r>
            <w:bookmarkEnd w:id="39"/>
          </w:p>
        </w:tc>
      </w:tr>
      <w:tr w:rsidTr="00C2608F">
        <w:tblPrEx>
          <w:tblW w:w="0" w:type="auto"/>
          <w:tblInd w:w="360" w:type="dxa"/>
          <w:tblCellMar>
            <w:left w:w="0" w:type="dxa"/>
            <w:right w:w="0" w:type="dxa"/>
          </w:tblCellMar>
          <w:tblLook w:val="04A0"/>
        </w:tblPrEx>
        <w:tc>
          <w:tcPr>
            <w:tcW w:w="5069" w:type="dxa"/>
          </w:tcPr>
          <w:p w:rsidR="004C26D2" w:rsidP="00C2608F">
            <w:pPr>
              <w:spacing w:before="0" w:after="0"/>
              <w:ind w:left="180"/>
              <w:rPr>
                <w:rFonts w:ascii="Arial" w:eastAsia="Arial" w:hAnsi="Arial" w:cs="Arial"/>
              </w:rPr>
            </w:pPr>
            <w:bookmarkStart w:id="40" w:name="_LINE__30_e6865561_49a5_4f24_8e71_bcb9fe"/>
            <w:r>
              <w:rPr>
                <w:rFonts w:ascii="Arial" w:eastAsia="Arial" w:hAnsi="Arial" w:cs="Arial"/>
              </w:rPr>
              <w:t>Personal Services</w:t>
            </w:r>
            <w:bookmarkEnd w:id="40"/>
          </w:p>
        </w:tc>
        <w:tc>
          <w:tcPr>
            <w:tcW w:w="1469" w:type="dxa"/>
          </w:tcPr>
          <w:p w:rsidR="004C26D2" w:rsidP="00C2608F">
            <w:pPr>
              <w:spacing w:before="0" w:after="0"/>
              <w:jc w:val="right"/>
              <w:rPr>
                <w:rFonts w:ascii="Arial" w:eastAsia="Arial" w:hAnsi="Arial" w:cs="Arial"/>
              </w:rPr>
            </w:pPr>
            <w:bookmarkStart w:id="41" w:name="_LINE__30_6aaa6c56_b9b2_4666_84b3_eb10de"/>
            <w:r>
              <w:rPr>
                <w:rFonts w:ascii="Arial" w:eastAsia="Arial" w:hAnsi="Arial" w:cs="Arial"/>
              </w:rPr>
              <w:t>$0</w:t>
            </w:r>
            <w:bookmarkEnd w:id="41"/>
          </w:p>
        </w:tc>
        <w:tc>
          <w:tcPr>
            <w:tcW w:w="1469" w:type="dxa"/>
          </w:tcPr>
          <w:p w:rsidR="004C26D2" w:rsidP="00C2608F">
            <w:pPr>
              <w:spacing w:before="0" w:after="0"/>
              <w:jc w:val="right"/>
              <w:rPr>
                <w:rFonts w:ascii="Arial" w:eastAsia="Arial" w:hAnsi="Arial" w:cs="Arial"/>
              </w:rPr>
            </w:pPr>
            <w:bookmarkStart w:id="42" w:name="_LINE__30_fe3f3832_98da_47c1_91f8_5dba66"/>
            <w:r>
              <w:rPr>
                <w:rFonts w:ascii="Arial" w:eastAsia="Arial" w:hAnsi="Arial" w:cs="Arial"/>
              </w:rPr>
              <w:t>($880)</w:t>
            </w:r>
            <w:bookmarkEnd w:id="42"/>
          </w:p>
        </w:tc>
      </w:tr>
      <w:tr w:rsidTr="00C2608F">
        <w:tblPrEx>
          <w:tblW w:w="0" w:type="auto"/>
          <w:tblInd w:w="360" w:type="dxa"/>
          <w:tblCellMar>
            <w:left w:w="0" w:type="dxa"/>
            <w:right w:w="0" w:type="dxa"/>
          </w:tblCellMar>
          <w:tblLook w:val="04A0"/>
        </w:tblPrEx>
        <w:tc>
          <w:tcPr>
            <w:tcW w:w="5069" w:type="dxa"/>
          </w:tcPr>
          <w:p w:rsidR="004C26D2" w:rsidP="00C2608F">
            <w:pPr>
              <w:spacing w:before="0" w:after="0"/>
              <w:ind w:left="180"/>
              <w:rPr>
                <w:rFonts w:ascii="Arial" w:eastAsia="Arial" w:hAnsi="Arial" w:cs="Arial"/>
              </w:rPr>
            </w:pPr>
            <w:bookmarkStart w:id="43" w:name="_LINE__31_e74e6c10_9c6d_4519_8542_79fc9c"/>
            <w:r>
              <w:rPr>
                <w:rFonts w:ascii="Arial" w:eastAsia="Arial" w:hAnsi="Arial" w:cs="Arial"/>
              </w:rPr>
              <w:t>All Other</w:t>
            </w:r>
            <w:bookmarkEnd w:id="43"/>
          </w:p>
        </w:tc>
        <w:tc>
          <w:tcPr>
            <w:tcW w:w="1469" w:type="dxa"/>
          </w:tcPr>
          <w:p w:rsidR="004C26D2" w:rsidP="00C2608F">
            <w:pPr>
              <w:spacing w:before="0" w:after="0"/>
              <w:jc w:val="right"/>
              <w:rPr>
                <w:rFonts w:ascii="Arial" w:eastAsia="Arial" w:hAnsi="Arial" w:cs="Arial"/>
              </w:rPr>
            </w:pPr>
            <w:bookmarkStart w:id="44" w:name="_LINE__31_e8afadb1_43e9_4615_9353_90c0fb"/>
            <w:r>
              <w:rPr>
                <w:rFonts w:ascii="Arial" w:eastAsia="Arial" w:hAnsi="Arial" w:cs="Arial"/>
              </w:rPr>
              <w:t>$0</w:t>
            </w:r>
            <w:bookmarkEnd w:id="44"/>
          </w:p>
        </w:tc>
        <w:tc>
          <w:tcPr>
            <w:tcW w:w="1469" w:type="dxa"/>
          </w:tcPr>
          <w:p w:rsidR="004C26D2" w:rsidP="00C2608F">
            <w:pPr>
              <w:spacing w:before="0" w:after="0"/>
              <w:jc w:val="right"/>
              <w:rPr>
                <w:rFonts w:ascii="Arial" w:eastAsia="Arial" w:hAnsi="Arial" w:cs="Arial"/>
              </w:rPr>
            </w:pPr>
            <w:bookmarkStart w:id="45" w:name="_LINE__31_554208fc_abfb_42cb_9721_ae777a"/>
            <w:r>
              <w:rPr>
                <w:rFonts w:ascii="Arial" w:eastAsia="Arial" w:hAnsi="Arial" w:cs="Arial"/>
              </w:rPr>
              <w:t>($1,620)</w:t>
            </w:r>
            <w:bookmarkEnd w:id="45"/>
          </w:p>
        </w:tc>
      </w:tr>
      <w:tr w:rsidTr="00C2608F">
        <w:tblPrEx>
          <w:tblW w:w="0" w:type="auto"/>
          <w:tblInd w:w="360" w:type="dxa"/>
          <w:tblCellMar>
            <w:left w:w="0" w:type="dxa"/>
            <w:right w:w="0" w:type="dxa"/>
          </w:tblCellMar>
          <w:tblLook w:val="04A0"/>
        </w:tblPrEx>
        <w:tc>
          <w:tcPr>
            <w:tcW w:w="5069" w:type="dxa"/>
          </w:tcPr>
          <w:p w:rsidR="004C26D2" w:rsidP="00C2608F">
            <w:pPr>
              <w:spacing w:before="0" w:after="0"/>
              <w:rPr>
                <w:rFonts w:ascii="Arial" w:eastAsia="Arial" w:hAnsi="Arial" w:cs="Arial"/>
              </w:rPr>
            </w:pPr>
            <w:bookmarkStart w:id="46" w:name="_LINE__32_855034d8_97ea_4d0e_a9ec_f67d6d"/>
            <w:r>
              <w:rPr>
                <w:rFonts w:ascii="Arial" w:eastAsia="Arial" w:hAnsi="Arial" w:cs="Arial"/>
              </w:rPr>
              <w:t xml:space="preserve"> </w:t>
            </w:r>
            <w:bookmarkEnd w:id="46"/>
          </w:p>
        </w:tc>
        <w:tc>
          <w:tcPr>
            <w:tcW w:w="1469" w:type="dxa"/>
          </w:tcPr>
          <w:p w:rsidR="004C26D2" w:rsidP="00C2608F">
            <w:pPr>
              <w:spacing w:before="0" w:after="0"/>
              <w:jc w:val="right"/>
              <w:rPr>
                <w:rFonts w:ascii="Arial" w:eastAsia="Arial" w:hAnsi="Arial" w:cs="Arial"/>
              </w:rPr>
            </w:pPr>
            <w:bookmarkStart w:id="47" w:name="_LINE__32_942eee42_5d67_4ff0_82be_0457f3"/>
            <w:r>
              <w:rPr>
                <w:rFonts w:ascii="Arial" w:eastAsia="Arial" w:hAnsi="Arial" w:cs="Arial"/>
              </w:rPr>
              <w:t>__________</w:t>
            </w:r>
            <w:bookmarkEnd w:id="47"/>
          </w:p>
        </w:tc>
        <w:tc>
          <w:tcPr>
            <w:tcW w:w="1469" w:type="dxa"/>
          </w:tcPr>
          <w:p w:rsidR="004C26D2" w:rsidP="00C2608F">
            <w:pPr>
              <w:spacing w:before="0" w:after="0"/>
              <w:jc w:val="right"/>
              <w:rPr>
                <w:rFonts w:ascii="Arial" w:eastAsia="Arial" w:hAnsi="Arial" w:cs="Arial"/>
              </w:rPr>
            </w:pPr>
            <w:bookmarkStart w:id="48" w:name="_LINE__32_13bf0fed_a0cf_4b9d_b2da_227c82"/>
            <w:r>
              <w:rPr>
                <w:rFonts w:ascii="Arial" w:eastAsia="Arial" w:hAnsi="Arial" w:cs="Arial"/>
              </w:rPr>
              <w:t>__________</w:t>
            </w:r>
            <w:bookmarkEnd w:id="48"/>
          </w:p>
        </w:tc>
      </w:tr>
      <w:tr w:rsidTr="00C2608F">
        <w:tblPrEx>
          <w:tblW w:w="0" w:type="auto"/>
          <w:tblInd w:w="360" w:type="dxa"/>
          <w:tblCellMar>
            <w:left w:w="0" w:type="dxa"/>
            <w:right w:w="0" w:type="dxa"/>
          </w:tblCellMar>
          <w:tblLook w:val="04A0"/>
        </w:tblPrEx>
        <w:tc>
          <w:tcPr>
            <w:tcW w:w="5069" w:type="dxa"/>
          </w:tcPr>
          <w:p w:rsidR="004C26D2" w:rsidP="00C2608F">
            <w:pPr>
              <w:spacing w:before="0" w:after="0"/>
              <w:rPr>
                <w:rFonts w:ascii="Arial" w:eastAsia="Arial" w:hAnsi="Arial" w:cs="Arial"/>
              </w:rPr>
            </w:pPr>
            <w:bookmarkStart w:id="49" w:name="_LINE__33_9f99a237_ba8c_4ac8_8fc0_ca3f29"/>
            <w:r>
              <w:rPr>
                <w:rFonts w:ascii="Arial" w:eastAsia="Arial" w:hAnsi="Arial" w:cs="Arial"/>
              </w:rPr>
              <w:t>GENERAL FUND TOTAL</w:t>
            </w:r>
            <w:bookmarkEnd w:id="49"/>
          </w:p>
        </w:tc>
        <w:tc>
          <w:tcPr>
            <w:tcW w:w="1469" w:type="dxa"/>
          </w:tcPr>
          <w:p w:rsidR="004C26D2" w:rsidP="00C2608F">
            <w:pPr>
              <w:spacing w:before="0" w:after="0"/>
              <w:jc w:val="right"/>
              <w:rPr>
                <w:rFonts w:ascii="Arial" w:eastAsia="Arial" w:hAnsi="Arial" w:cs="Arial"/>
              </w:rPr>
            </w:pPr>
            <w:bookmarkStart w:id="50" w:name="_LINE__33_8fc4a0d1_dd7f_44e3_8e2e_422736"/>
            <w:r>
              <w:rPr>
                <w:rFonts w:ascii="Arial" w:eastAsia="Arial" w:hAnsi="Arial" w:cs="Arial"/>
              </w:rPr>
              <w:t>$0</w:t>
            </w:r>
            <w:bookmarkEnd w:id="50"/>
          </w:p>
        </w:tc>
        <w:tc>
          <w:tcPr>
            <w:tcW w:w="1469" w:type="dxa"/>
          </w:tcPr>
          <w:p w:rsidR="004C26D2" w:rsidP="00C2608F">
            <w:pPr>
              <w:spacing w:before="0" w:after="0"/>
              <w:jc w:val="right"/>
              <w:rPr>
                <w:rFonts w:ascii="Arial" w:eastAsia="Arial" w:hAnsi="Arial" w:cs="Arial"/>
              </w:rPr>
            </w:pPr>
            <w:bookmarkStart w:id="51" w:name="_LINE__33_da82b0ff_9c2f_4dfa_8cb3_afd467"/>
            <w:r>
              <w:rPr>
                <w:rFonts w:ascii="Arial" w:eastAsia="Arial" w:hAnsi="Arial" w:cs="Arial"/>
              </w:rPr>
              <w:t>($2,500)</w:t>
            </w:r>
            <w:bookmarkEnd w:id="51"/>
          </w:p>
        </w:tc>
      </w:tr>
    </w:tbl>
    <w:p w:rsidR="004C26D2" w:rsidP="004C26D2">
      <w:pPr>
        <w:ind w:left="360"/>
        <w:rPr>
          <w:rFonts w:ascii="Arial" w:eastAsia="Arial" w:hAnsi="Arial" w:cs="Arial"/>
        </w:rPr>
      </w:pPr>
      <w:bookmarkStart w:id="52" w:name="_PAR__16_05bba6ba_5ac2_458f_8637_bc8fc06"/>
      <w:bookmarkEnd w:id="36"/>
      <w:r>
        <w:rPr>
          <w:rFonts w:ascii="Arial" w:eastAsia="Arial" w:hAnsi="Arial" w:cs="Arial"/>
        </w:rPr>
        <w:t>'</w:t>
      </w:r>
    </w:p>
    <w:p w:rsidR="004C26D2" w:rsidP="004C26D2">
      <w:pPr>
        <w:ind w:left="360" w:firstLine="360"/>
        <w:rPr>
          <w:rFonts w:ascii="Arial" w:eastAsia="Arial" w:hAnsi="Arial" w:cs="Arial"/>
        </w:rPr>
      </w:pPr>
      <w:bookmarkStart w:id="53" w:name="_INSTRUCTION__7205bdda_2d85_433d_a250_04"/>
      <w:bookmarkStart w:id="54" w:name="_PAR__17_46dde774_a3c6_4c6f_bb5e_7cd1e99"/>
      <w:bookmarkEnd w:id="11"/>
      <w:bookmarkEnd w:id="52"/>
      <w:r>
        <w:rPr>
          <w:rFonts w:ascii="Arial" w:eastAsia="Arial" w:hAnsi="Arial" w:cs="Arial"/>
        </w:rPr>
        <w:t>Amend the bill by relettering or renumbering any nonconsecutive Part letter or section number to read consecutively.</w:t>
      </w:r>
    </w:p>
    <w:p w:rsidR="004C26D2" w:rsidP="004C26D2">
      <w:pPr>
        <w:keepNext/>
        <w:spacing w:before="240"/>
        <w:ind w:left="360"/>
        <w:jc w:val="center"/>
        <w:rPr>
          <w:rFonts w:ascii="Arial" w:eastAsia="Arial" w:hAnsi="Arial" w:cs="Arial"/>
        </w:rPr>
      </w:pPr>
      <w:bookmarkStart w:id="55" w:name="_SUMMARY__7c6f0c50_4016_40e9_94f7_a68e83"/>
      <w:bookmarkStart w:id="56" w:name="_PAGE__3_4bb4e041_33a8_4fce_bd2f_99be921"/>
      <w:bookmarkStart w:id="57" w:name="_PAR__2_49099689_922e_44a4_815a_86faee5c"/>
      <w:bookmarkEnd w:id="22"/>
      <w:bookmarkEnd w:id="53"/>
      <w:bookmarkEnd w:id="54"/>
      <w:r>
        <w:rPr>
          <w:rFonts w:ascii="Arial" w:eastAsia="Arial" w:hAnsi="Arial" w:cs="Arial"/>
          <w:b/>
          <w:sz w:val="24"/>
        </w:rPr>
        <w:t>SUMMARY</w:t>
      </w:r>
    </w:p>
    <w:p w:rsidR="004C26D2" w:rsidP="004C26D2">
      <w:pPr>
        <w:ind w:left="360" w:firstLine="360"/>
        <w:rPr>
          <w:rFonts w:ascii="Arial" w:eastAsia="Arial" w:hAnsi="Arial" w:cs="Arial"/>
        </w:rPr>
      </w:pPr>
      <w:bookmarkStart w:id="58" w:name="_PAR__3_1df62c77_57c2_4ca9_9ec0_7ea67fac"/>
      <w:bookmarkEnd w:id="57"/>
      <w:r>
        <w:rPr>
          <w:rFonts w:ascii="Arial" w:eastAsia="Arial" w:hAnsi="Arial" w:cs="Arial"/>
        </w:rPr>
        <w:t>This amendment replaces the bill. The amendment eliminates the following boards and commissions that filed a report that indicated the board or commission was inactive during 2024 and 2025:</w:t>
      </w:r>
    </w:p>
    <w:p w:rsidR="004C26D2" w:rsidP="004C26D2">
      <w:pPr>
        <w:ind w:left="360" w:firstLine="360"/>
        <w:rPr>
          <w:rFonts w:ascii="Arial" w:eastAsia="Arial" w:hAnsi="Arial" w:cs="Arial"/>
        </w:rPr>
      </w:pPr>
      <w:bookmarkStart w:id="59" w:name="_PAR__4_0e9885aa_0e6e_4b50_bca0_1632a416"/>
      <w:bookmarkEnd w:id="58"/>
      <w:r>
        <w:rPr>
          <w:rFonts w:ascii="Arial" w:eastAsia="Arial" w:hAnsi="Arial" w:cs="Arial"/>
        </w:rPr>
        <w:t xml:space="preserve">1. The State Education and Employment Outcomes Task Force; </w:t>
      </w:r>
    </w:p>
    <w:p w:rsidR="004C26D2" w:rsidP="004C26D2">
      <w:pPr>
        <w:ind w:left="360" w:firstLine="360"/>
        <w:rPr>
          <w:rFonts w:ascii="Arial" w:eastAsia="Arial" w:hAnsi="Arial" w:cs="Arial"/>
        </w:rPr>
      </w:pPr>
      <w:bookmarkStart w:id="60" w:name="_PAR__5_e7a4868d_eccc_4b67_bbf2_da49ba12"/>
      <w:bookmarkEnd w:id="59"/>
      <w:r>
        <w:rPr>
          <w:rFonts w:ascii="Arial" w:eastAsia="Arial" w:hAnsi="Arial" w:cs="Arial"/>
        </w:rPr>
        <w:t xml:space="preserve">2. The Board of Licensure of Professional Investigators; and </w:t>
      </w:r>
    </w:p>
    <w:p w:rsidR="004C26D2" w:rsidP="004C26D2">
      <w:pPr>
        <w:keepNext/>
        <w:ind w:left="360" w:firstLine="360"/>
        <w:rPr>
          <w:rFonts w:ascii="Arial" w:eastAsia="Arial" w:hAnsi="Arial" w:cs="Arial"/>
        </w:rPr>
      </w:pPr>
      <w:bookmarkStart w:id="61" w:name="_PAR__6_b80833e8_dbaa_4681_b737_9cce3f58"/>
      <w:bookmarkEnd w:id="60"/>
      <w:r>
        <w:rPr>
          <w:rFonts w:ascii="Arial" w:eastAsia="Arial" w:hAnsi="Arial" w:cs="Arial"/>
        </w:rPr>
        <w:t>3. The Polygraph Examiners Advisory Board.</w:t>
      </w:r>
    </w:p>
    <w:p w:rsidR="004C26D2" w:rsidP="004C26D2">
      <w:pPr>
        <w:keepNext/>
        <w:spacing w:before="60" w:after="60"/>
        <w:ind w:left="360"/>
        <w:jc w:val="center"/>
        <w:rPr>
          <w:rFonts w:ascii="Arial" w:eastAsia="Arial" w:hAnsi="Arial" w:cs="Arial"/>
        </w:rPr>
      </w:pPr>
      <w:bookmarkStart w:id="62" w:name="_FISCAL_NOTE_REQUIRED__28a7ce38_f7c5_42c"/>
      <w:bookmarkStart w:id="63" w:name="_PAR__7_be228159_673c_47fe_a588_ad620c5c"/>
      <w:bookmarkEnd w:id="61"/>
      <w:r>
        <w:rPr>
          <w:rFonts w:ascii="Arial" w:eastAsia="Arial" w:hAnsi="Arial" w:cs="Arial"/>
          <w:b/>
        </w:rPr>
        <w:t>FISCAL NOTE REQUIRED</w:t>
      </w:r>
    </w:p>
    <w:p w:rsidR="00000000" w:rsidRPr="004C26D2" w:rsidP="004C26D2">
      <w:pPr>
        <w:spacing w:before="60" w:after="60"/>
        <w:ind w:left="360"/>
        <w:jc w:val="center"/>
        <w:rPr>
          <w:rFonts w:ascii="Arial" w:eastAsia="Arial" w:hAnsi="Arial" w:cs="Arial"/>
          <w:b/>
        </w:rPr>
      </w:pPr>
      <w:bookmarkStart w:id="64" w:name="_PAR__8_5282e1fc_be83_4d3f_b141_706525a0"/>
      <w:bookmarkEnd w:id="63"/>
      <w:r>
        <w:rPr>
          <w:rFonts w:ascii="Arial" w:eastAsia="Arial" w:hAnsi="Arial" w:cs="Arial"/>
          <w:b/>
        </w:rPr>
        <w:t>(See attached)</w:t>
      </w:r>
      <w:bookmarkEnd w:id="55"/>
      <w:bookmarkEnd w:id="56"/>
      <w:bookmarkEnd w:id="62"/>
      <w:bookmarkEnd w:id="64"/>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LR3062, item 2 - 132nd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Eliminate Inactive Boards and Commissions</w:t>
    </w:r>
  </w:p>
  <w:p>
    <w:pPr>
      <w:suppressLineNumbers/>
      <w:spacing w:before="0" w:after="0"/>
      <w:jc w:val="center"/>
      <w:rPr>
        <w:rFonts w:ascii="Arial" w:eastAsia="Arial" w:hAnsi="Arial" w:cs="Arial"/>
      </w:rPr>
    </w:pPr>
    <w:r>
      <w:rPr>
        <w:rFonts w:ascii="Arial" w:eastAsia="Arial" w:hAnsi="Arial" w:cs="Arial"/>
        <w:sz w:val="22"/>
      </w:rPr>
      <w:t>L.D. 2228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4C26D2"/>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2608F"/>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