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Regarding the Statute of Limitations for Certain Sexual Offenses Committed Against Minors</w:t>
      </w:r>
    </w:p>
    <w:p w:rsidR="008454E3" w:rsidP="008454E3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30b6d315_c104_46e5_9873_3c"/>
      <w:bookmarkStart w:id="1" w:name="_PAGE__1_1b76b1aa_46a6_40dc_b9c7_92fb992"/>
      <w:bookmarkStart w:id="2" w:name="_PAR__2_fa0f1440_b233_4243_8295_520eeb06"/>
      <w:r>
        <w:rPr>
          <w:rFonts w:ascii="Arial" w:eastAsia="Arial" w:hAnsi="Arial" w:cs="Arial"/>
          <w:caps/>
        </w:rPr>
        <w:t>L.D. 2207</w:t>
      </w:r>
    </w:p>
    <w:p w:rsidR="008454E3" w:rsidP="008454E3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330402b8_07fd_488c_8734_c868d2b1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H-         )</w:t>
      </w:r>
    </w:p>
    <w:p w:rsidR="008454E3" w:rsidP="008454E3">
      <w:pPr>
        <w:spacing w:before="600" w:after="300"/>
        <w:ind w:left="360"/>
        <w:jc w:val="center"/>
        <w:outlineLvl w:val="0"/>
        <w:rPr>
          <w:rFonts w:ascii="Arial" w:eastAsia="Arial" w:hAnsi="Arial" w:cs="Arial"/>
        </w:rPr>
      </w:pPr>
      <w:bookmarkStart w:id="4" w:name="_PAR__4_c2b8a679_14a1_4cce_800c_6ff308f1"/>
      <w:bookmarkEnd w:id="3"/>
      <w:r>
        <w:rPr>
          <w:rFonts w:ascii="Arial" w:eastAsia="Arial" w:hAnsi="Arial" w:cs="Arial"/>
          <w:b/>
          <w:caps/>
          <w:sz w:val="24"/>
          <w:szCs w:val="32"/>
        </w:rPr>
        <w:t xml:space="preserve">Judiciary </w:t>
      </w:r>
    </w:p>
    <w:p w:rsidR="008454E3" w:rsidP="008454E3">
      <w:pPr>
        <w:spacing w:before="60" w:after="60"/>
        <w:ind w:left="720"/>
        <w:rPr>
          <w:rFonts w:ascii="Arial" w:eastAsia="Arial" w:hAnsi="Arial" w:cs="Arial"/>
        </w:rPr>
      </w:pPr>
      <w:bookmarkStart w:id="5" w:name="_PAR__5_e5286fe3_de3b_421e_acff_54f73377"/>
      <w:bookmarkEnd w:id="4"/>
      <w:r>
        <w:rPr>
          <w:rFonts w:ascii="Arial" w:eastAsia="Arial" w:hAnsi="Arial" w:cs="Arial"/>
        </w:rPr>
        <w:t>Reproduced and distributed under the direction of the Clerk of the House.</w:t>
      </w:r>
    </w:p>
    <w:p w:rsidR="008454E3" w:rsidP="008454E3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19a11130_31dc_463d_b3bf_fbc3adda"/>
      <w:bookmarkEnd w:id="5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8454E3" w:rsidP="008454E3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45818752_3197_4070_a403_a46d0569"/>
      <w:bookmarkEnd w:id="6"/>
      <w:r>
        <w:rPr>
          <w:rFonts w:ascii="Arial" w:eastAsia="Arial" w:hAnsi="Arial" w:cs="Arial"/>
          <w:b/>
          <w:caps/>
          <w:sz w:val="24"/>
          <w:szCs w:val="32"/>
        </w:rPr>
        <w:t>HOUSE OF REPRESENTATIVES</w:t>
      </w:r>
    </w:p>
    <w:p w:rsidR="008454E3" w:rsidP="008454E3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23f52e2f_231d_4f12_ab06_7e2ff5d7"/>
      <w:bookmarkEnd w:id="7"/>
      <w:r>
        <w:rPr>
          <w:rFonts w:ascii="Arial" w:eastAsia="Arial" w:hAnsi="Arial" w:cs="Arial"/>
          <w:b/>
          <w:caps/>
          <w:sz w:val="24"/>
          <w:szCs w:val="32"/>
        </w:rPr>
        <w:t>132nd Legislature</w:t>
      </w:r>
    </w:p>
    <w:p w:rsidR="008454E3" w:rsidP="008454E3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9" w:name="_PAR__9_8941a878_40a3_48b8_a8da_23c59f4d"/>
      <w:bookmarkEnd w:id="8"/>
      <w:r>
        <w:rPr>
          <w:rFonts w:ascii="Arial" w:eastAsia="Arial" w:hAnsi="Arial" w:cs="Arial"/>
          <w:b/>
          <w:caps/>
          <w:sz w:val="24"/>
          <w:szCs w:val="32"/>
        </w:rPr>
        <w:t>Second Regular Session</w:t>
      </w:r>
    </w:p>
    <w:p w:rsidR="008454E3" w:rsidP="008454E3">
      <w:pPr>
        <w:spacing w:before="400" w:after="200"/>
        <w:ind w:left="360" w:firstLine="360"/>
        <w:rPr>
          <w:rFonts w:ascii="Arial" w:eastAsia="Arial" w:hAnsi="Arial" w:cs="Arial"/>
        </w:rPr>
      </w:pPr>
      <w:bookmarkStart w:id="10" w:name="_PAR__10_477a4d8c_6df4_4006_acdf_f9cfe41"/>
      <w:bookmarkEnd w:id="9"/>
      <w:r>
        <w:rPr>
          <w:rFonts w:ascii="Arial" w:eastAsia="Arial" w:hAnsi="Arial" w:cs="Arial"/>
          <w:szCs w:val="22"/>
        </w:rPr>
        <w:t>COMMITTEE AMENDMENT “      ” to H.P. 1484, L.D. 2207, “An Act Regarding the Statute of Limitations for Certain Sexual Offenses Committed Against Minors”</w:t>
      </w:r>
    </w:p>
    <w:p w:rsidR="008454E3" w:rsidP="008454E3">
      <w:pPr>
        <w:ind w:left="360" w:firstLine="360"/>
        <w:rPr>
          <w:rFonts w:ascii="Arial" w:eastAsia="Arial" w:hAnsi="Arial" w:cs="Arial"/>
        </w:rPr>
      </w:pPr>
      <w:bookmarkStart w:id="11" w:name="_INSTRUCTION__cb49ab68_3119_48d8_9ba7_1b"/>
      <w:bookmarkStart w:id="12" w:name="_PAR__11_c7b2aa20_1cfa_4f7f_92c0_77f9165"/>
      <w:bookmarkEnd w:id="0"/>
      <w:bookmarkEnd w:id="10"/>
      <w:r>
        <w:rPr>
          <w:rFonts w:ascii="Arial" w:eastAsia="Arial" w:hAnsi="Arial" w:cs="Arial"/>
        </w:rPr>
        <w:t>Amend the bill by striking out everything after the enacting clause and inserting the following:</w:t>
      </w:r>
    </w:p>
    <w:p w:rsidR="008454E3" w:rsidP="008454E3">
      <w:pPr>
        <w:ind w:left="360" w:firstLine="360"/>
        <w:rPr>
          <w:rFonts w:ascii="Arial" w:eastAsia="Arial" w:hAnsi="Arial" w:cs="Arial"/>
        </w:rPr>
      </w:pPr>
      <w:bookmarkStart w:id="13" w:name="_PAR__12_0df67acf_926d_4e42_a130_7a8af7b"/>
      <w:bookmarkEnd w:id="12"/>
      <w:r>
        <w:rPr>
          <w:rFonts w:ascii="Arial" w:eastAsia="Arial" w:hAnsi="Arial" w:cs="Arial"/>
        </w:rPr>
        <w:t>'</w:t>
      </w:r>
      <w:r>
        <w:rPr>
          <w:rFonts w:ascii="Arial" w:eastAsia="Arial" w:hAnsi="Arial" w:cs="Arial"/>
          <w:b/>
          <w:sz w:val="24"/>
        </w:rPr>
        <w:t>Sec. 1.  17-A MRSA §8, sub-§1,</w:t>
      </w:r>
      <w:r>
        <w:rPr>
          <w:rFonts w:ascii="Arial" w:eastAsia="Arial" w:hAnsi="Arial" w:cs="Arial"/>
        </w:rPr>
        <w:t xml:space="preserve"> as amended by PL 2023, c. 475, §2 and affected by §3, is further amended to read:</w:t>
      </w:r>
    </w:p>
    <w:p w:rsidR="008454E3" w:rsidP="008454E3">
      <w:pPr>
        <w:ind w:left="360" w:firstLine="360"/>
        <w:rPr>
          <w:rFonts w:ascii="Arial" w:eastAsia="Arial" w:hAnsi="Arial" w:cs="Arial"/>
        </w:rPr>
      </w:pPr>
      <w:bookmarkStart w:id="14" w:name="_PAR__13_504a60e2_4af8_41f4_b2fe_7f720d8"/>
      <w:bookmarkEnd w:id="13"/>
      <w:r>
        <w:rPr>
          <w:rFonts w:ascii="Arial" w:eastAsia="Arial" w:hAnsi="Arial" w:cs="Arial"/>
          <w:b/>
        </w:rPr>
        <w:t xml:space="preserve">1.  </w:t>
      </w:r>
      <w:r>
        <w:rPr>
          <w:rFonts w:ascii="Arial" w:eastAsia="Arial" w:hAnsi="Arial" w:cs="Arial"/>
        </w:rPr>
        <w:t xml:space="preserve"> It is a defense that prosecution was commenced after the expiration of the applicable period of limitations provided in this section, except that the following prosecutions may be commenced at any time:</w:t>
      </w:r>
    </w:p>
    <w:p w:rsidR="008454E3" w:rsidP="008454E3">
      <w:pPr>
        <w:ind w:left="720"/>
        <w:rPr>
          <w:rFonts w:ascii="Arial" w:eastAsia="Arial" w:hAnsi="Arial" w:cs="Arial"/>
        </w:rPr>
      </w:pPr>
      <w:bookmarkStart w:id="15" w:name="_PAR__14_505526f5_9fd1_4cb9_9ac8_a97d719"/>
      <w:bookmarkEnd w:id="14"/>
      <w:r>
        <w:rPr>
          <w:rFonts w:ascii="Arial" w:eastAsia="Arial" w:hAnsi="Arial" w:cs="Arial"/>
        </w:rPr>
        <w:t xml:space="preserve">A.  A prosecution for murder or criminal homicide in the first or 2nd degree; </w:t>
      </w:r>
      <w:r>
        <w:rPr>
          <w:rFonts w:ascii="Arial" w:eastAsia="Arial" w:hAnsi="Arial" w:cs="Arial"/>
          <w:strike/>
        </w:rPr>
        <w:t>or</w:t>
      </w:r>
    </w:p>
    <w:p w:rsidR="008454E3" w:rsidP="008454E3">
      <w:pPr>
        <w:ind w:left="720"/>
        <w:rPr>
          <w:rFonts w:ascii="Arial" w:eastAsia="Arial" w:hAnsi="Arial" w:cs="Arial"/>
        </w:rPr>
      </w:pPr>
      <w:bookmarkStart w:id="16" w:name="_PAR__15_bf7d77e8_66db_4acc_b186_2852f60"/>
      <w:bookmarkEnd w:id="15"/>
      <w:r>
        <w:rPr>
          <w:rFonts w:ascii="Arial" w:eastAsia="Arial" w:hAnsi="Arial" w:cs="Arial"/>
        </w:rPr>
        <w:t>B.  If the victim had not attained the age of 18 years at the time of the crime, a prosecution for incest; unlawful sexual contact; sexual abuse of a minor; rape or gross sexual assault, formerly denominated as gross sexual misconduct; unlawful sexual touching; or sexual exploitation of a minor</w:t>
      </w:r>
      <w:r>
        <w:rPr>
          <w:rFonts w:ascii="Arial" w:eastAsia="Arial" w:hAnsi="Arial" w:cs="Arial"/>
          <w:strike/>
        </w:rPr>
        <w:t>.</w:t>
      </w:r>
      <w:r>
        <w:rPr>
          <w:rFonts w:ascii="Arial" w:eastAsia="Arial" w:hAnsi="Arial" w:cs="Arial"/>
          <w:u w:val="single"/>
        </w:rPr>
        <w:t>; or</w:t>
      </w:r>
    </w:p>
    <w:p w:rsidR="008454E3" w:rsidP="008454E3">
      <w:pPr>
        <w:ind w:left="720"/>
        <w:rPr>
          <w:rFonts w:ascii="Arial" w:eastAsia="Arial" w:hAnsi="Arial" w:cs="Arial"/>
        </w:rPr>
      </w:pPr>
      <w:bookmarkStart w:id="17" w:name="_PAR__16_8993db97_98ca_4658_b48d_241cde5"/>
      <w:bookmarkEnd w:id="16"/>
      <w:r>
        <w:rPr>
          <w:rFonts w:ascii="Arial" w:eastAsia="Arial" w:hAnsi="Arial" w:cs="Arial"/>
          <w:u w:val="single"/>
        </w:rPr>
        <w:t>C.  If the victim had not attained the age of 18 years at the time of the crime, a prosecution for aggravated sex trafficking or commercial sexual exploitation of a minor.  The provisions of this paragraph apply only to those crimes of aggravated sex trafficking or commercial sexual exploitation of a minor committed on or after September 1, 2026 or for which the prosecution was not barred by the statute of limitations in force immediately prior to September 1, 2026.</w:t>
      </w:r>
    </w:p>
    <w:p w:rsidR="008454E3" w:rsidP="008454E3">
      <w:pPr>
        <w:ind w:left="360" w:firstLine="360"/>
        <w:rPr>
          <w:rFonts w:ascii="Arial" w:eastAsia="Arial" w:hAnsi="Arial" w:cs="Arial"/>
        </w:rPr>
      </w:pPr>
      <w:bookmarkStart w:id="18" w:name="_PAR__17_9209e94c_8799_4418_9514_4b34e7b"/>
      <w:bookmarkEnd w:id="17"/>
      <w:r>
        <w:rPr>
          <w:rFonts w:ascii="Arial" w:eastAsia="Arial" w:hAnsi="Arial" w:cs="Arial"/>
          <w:b/>
          <w:sz w:val="24"/>
        </w:rPr>
        <w:t>Sec. 2.  17-A MRSA §8, sub-§2-A,</w:t>
      </w:r>
      <w:r>
        <w:rPr>
          <w:rFonts w:ascii="Arial" w:eastAsia="Arial" w:hAnsi="Arial" w:cs="Arial"/>
        </w:rPr>
        <w:t xml:space="preserve"> as amended by PL 2025, c. 479, §1, is further amended to read:</w:t>
      </w:r>
    </w:p>
    <w:p w:rsidR="008454E3" w:rsidP="008454E3">
      <w:pPr>
        <w:ind w:left="360" w:firstLine="360"/>
        <w:rPr>
          <w:rFonts w:ascii="Arial" w:eastAsia="Arial" w:hAnsi="Arial" w:cs="Arial"/>
        </w:rPr>
      </w:pPr>
      <w:bookmarkStart w:id="19" w:name="_PAR__18_90f680a2_6cd9_4c69_ab7b_a3f8aa6"/>
      <w:bookmarkEnd w:id="18"/>
      <w:r>
        <w:rPr>
          <w:rFonts w:ascii="Arial" w:eastAsia="Arial" w:hAnsi="Arial" w:cs="Arial"/>
          <w:b/>
        </w:rPr>
        <w:t xml:space="preserve">2-A.  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Except as provided in subsection 1, paragraphs B and C, a</w:t>
      </w:r>
      <w:r>
        <w:rPr>
          <w:rFonts w:ascii="Arial" w:eastAsia="Arial" w:hAnsi="Arial" w:cs="Arial"/>
        </w:rPr>
        <w:t xml:space="preserve"> prosecution for a Class A, Class B or Class C crime involving unlawful sexual contact or gross sexual assault or a prosecution for a Class A or Class B crime involving aggravated sex trafficking must be commenced within 20 years after it is committed.</w:t>
      </w:r>
    </w:p>
    <w:p w:rsidR="008454E3" w:rsidP="008454E3">
      <w:pPr>
        <w:ind w:left="360"/>
        <w:rPr>
          <w:rFonts w:ascii="Arial" w:eastAsia="Arial" w:hAnsi="Arial" w:cs="Arial"/>
        </w:rPr>
      </w:pPr>
      <w:bookmarkStart w:id="20" w:name="_PAGE__2_e6e15751_5b0d_40a2_a890_2d46a0f"/>
      <w:bookmarkStart w:id="21" w:name="_PAR__2_4f5388bf_cd1e_4ffa_ad2c_99da1251"/>
      <w:bookmarkEnd w:id="1"/>
      <w:bookmarkEnd w:id="19"/>
      <w:r>
        <w:rPr>
          <w:rFonts w:ascii="Arial" w:eastAsia="Arial" w:hAnsi="Arial" w:cs="Arial"/>
        </w:rPr>
        <w:t>This subsection does not apply to a Class D crime enhanced to a Class C crime pursuant to section 1604, subsection 5, paragraph B.'</w:t>
      </w:r>
    </w:p>
    <w:p w:rsidR="008454E3" w:rsidP="008454E3">
      <w:pPr>
        <w:ind w:left="360" w:firstLine="360"/>
        <w:rPr>
          <w:rFonts w:ascii="Arial" w:eastAsia="Arial" w:hAnsi="Arial" w:cs="Arial"/>
        </w:rPr>
      </w:pPr>
      <w:bookmarkStart w:id="22" w:name="_INSTRUCTION__c25175c2_f351_4f67_86f4_45"/>
      <w:bookmarkStart w:id="23" w:name="_PAR__3_cd8093f2_7f28_48e8_85f9_d74058ec"/>
      <w:bookmarkEnd w:id="11"/>
      <w:bookmarkEnd w:id="21"/>
      <w:r>
        <w:rPr>
          <w:rFonts w:ascii="Arial" w:eastAsia="Arial" w:hAnsi="Arial" w:cs="Arial"/>
        </w:rPr>
        <w:t>Amend the bill by relettering or renumbering any nonconsecutive Part letter or section number to read consecutively.</w:t>
      </w:r>
    </w:p>
    <w:p w:rsidR="008454E3" w:rsidP="008454E3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4" w:name="_SUMMARY__59f0d3ab_53f7_48e0_bd61_2b8262"/>
      <w:bookmarkStart w:id="25" w:name="_PAR__4_b75cb938_bfd3_4e11_9f26_db7b8676"/>
      <w:bookmarkEnd w:id="22"/>
      <w:bookmarkEnd w:id="23"/>
      <w:r>
        <w:rPr>
          <w:rFonts w:ascii="Arial" w:eastAsia="Arial" w:hAnsi="Arial" w:cs="Arial"/>
          <w:b/>
          <w:sz w:val="24"/>
        </w:rPr>
        <w:t>SUMMARY</w:t>
      </w:r>
    </w:p>
    <w:p w:rsidR="008454E3" w:rsidP="008454E3">
      <w:pPr>
        <w:keepNext/>
        <w:ind w:left="360" w:firstLine="360"/>
        <w:rPr>
          <w:rFonts w:ascii="Arial" w:eastAsia="Arial" w:hAnsi="Arial" w:cs="Arial"/>
        </w:rPr>
      </w:pPr>
      <w:bookmarkStart w:id="26" w:name="_PAR__5_bbc97cfe_c32c_42b6_ad5a_d01617b8"/>
      <w:bookmarkEnd w:id="25"/>
      <w:r w:rsidRPr="005D00F2">
        <w:rPr>
          <w:rFonts w:ascii="Arial" w:eastAsia="Arial" w:hAnsi="Arial" w:cs="Arial"/>
        </w:rPr>
        <w:t xml:space="preserve">Like the bill, this amendment, which is the majority report of the committee, eliminates the statute of limitations for prosecution of the crime of aggravated sex trafficking </w:t>
      </w:r>
      <w:r>
        <w:rPr>
          <w:rFonts w:ascii="Arial" w:eastAsia="Arial" w:hAnsi="Arial" w:cs="Arial"/>
        </w:rPr>
        <w:t xml:space="preserve">and the crime of commercial sexual exploitation of a minor if those crimes were </w:t>
      </w:r>
      <w:r w:rsidRPr="005D00F2">
        <w:rPr>
          <w:rFonts w:ascii="Arial" w:eastAsia="Arial" w:hAnsi="Arial" w:cs="Arial"/>
        </w:rPr>
        <w:t xml:space="preserve">committed against a victim who had not attained the age of 18 years at the time of the crime.  Under the amendment, these changes apply only to criminal conduct occurring </w:t>
      </w:r>
      <w:r>
        <w:rPr>
          <w:rFonts w:ascii="Arial" w:eastAsia="Arial" w:hAnsi="Arial" w:cs="Arial"/>
        </w:rPr>
        <w:t xml:space="preserve">on or </w:t>
      </w:r>
      <w:r w:rsidRPr="005D00F2">
        <w:rPr>
          <w:rFonts w:ascii="Arial" w:eastAsia="Arial" w:hAnsi="Arial" w:cs="Arial"/>
        </w:rPr>
        <w:t>after September 1, 2026 or for which the prosecution is not barred by the statute of limitations in force immediately prior to September 1, 2026.</w:t>
      </w:r>
    </w:p>
    <w:p w:rsidR="008454E3" w:rsidP="008454E3">
      <w:pPr>
        <w:keepNext/>
        <w:spacing w:before="60" w:after="60"/>
        <w:ind w:left="360"/>
        <w:jc w:val="center"/>
        <w:rPr>
          <w:rFonts w:ascii="Arial" w:eastAsia="Arial" w:hAnsi="Arial" w:cs="Arial"/>
        </w:rPr>
      </w:pPr>
      <w:bookmarkStart w:id="27" w:name="_FISCAL_NOTE_REQUIRED__55133af0_d622_409"/>
      <w:bookmarkStart w:id="28" w:name="_PAR__6_fd9a1b00_676f_401a_9db7_a68fd396"/>
      <w:bookmarkEnd w:id="26"/>
      <w:r>
        <w:rPr>
          <w:rFonts w:ascii="Arial" w:eastAsia="Arial" w:hAnsi="Arial" w:cs="Arial"/>
          <w:b/>
        </w:rPr>
        <w:t>FISCAL NOTE REQUIRED</w:t>
      </w:r>
    </w:p>
    <w:p w:rsidR="00000000" w:rsidRPr="008454E3" w:rsidP="008454E3">
      <w:pPr>
        <w:spacing w:before="60" w:after="60"/>
        <w:ind w:left="360"/>
        <w:jc w:val="center"/>
        <w:rPr>
          <w:rFonts w:ascii="Arial" w:eastAsia="Arial" w:hAnsi="Arial" w:cs="Arial"/>
          <w:b/>
        </w:rPr>
      </w:pPr>
      <w:bookmarkStart w:id="29" w:name="_PAR__7_579d0bcc_675d_4e57_88f5_ba14ff18"/>
      <w:bookmarkEnd w:id="28"/>
      <w:r>
        <w:rPr>
          <w:rFonts w:ascii="Arial" w:eastAsia="Arial" w:hAnsi="Arial" w:cs="Arial"/>
          <w:b/>
        </w:rPr>
        <w:t>(See attached)</w:t>
      </w:r>
      <w:bookmarkEnd w:id="20"/>
      <w:bookmarkEnd w:id="24"/>
      <w:bookmarkEnd w:id="27"/>
      <w:bookmarkEnd w:id="29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LR3040, item 2 - 132nd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Regarding the Statute of Limitations for Certain Sexual Offenses Committed Against Minors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2207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5D00F2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454E3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