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Limit Rates Charged to Low-income Electricity Consumers</w:t>
      </w:r>
    </w:p>
    <w:p w:rsidR="00D45B73" w:rsidP="00D45B73">
      <w:pPr>
        <w:spacing w:after="240"/>
        <w:ind w:left="360"/>
        <w:jc w:val="right"/>
        <w:rPr>
          <w:rFonts w:ascii="Arial" w:eastAsia="Arial" w:hAnsi="Arial" w:cs="Arial"/>
          <w:caps/>
        </w:rPr>
      </w:pPr>
      <w:bookmarkStart w:id="0" w:name="_AMEND_TITLE__d2123506_ad31_41bb_9197_51"/>
      <w:bookmarkStart w:id="1" w:name="_PAGE__1_94124e24_0834_454c_815f_25a6e57"/>
      <w:bookmarkStart w:id="2" w:name="_PAR__2_5165adae_3754_4f05_a8eb_e2925b59"/>
      <w:r>
        <w:rPr>
          <w:rFonts w:ascii="Arial" w:eastAsia="Arial" w:hAnsi="Arial" w:cs="Arial"/>
          <w:caps/>
        </w:rPr>
        <w:t>L.D. 2203</w:t>
      </w:r>
    </w:p>
    <w:p w:rsidR="00D45B73" w:rsidP="00D45B73">
      <w:pPr>
        <w:tabs>
          <w:tab w:val="right" w:pos="8928"/>
        </w:tabs>
        <w:spacing w:after="360"/>
        <w:ind w:left="360"/>
        <w:rPr>
          <w:rFonts w:ascii="Arial" w:eastAsia="Arial" w:hAnsi="Arial" w:cs="Arial"/>
        </w:rPr>
      </w:pPr>
      <w:bookmarkStart w:id="3" w:name="_PAR__3_5edd1481_c60a_48e9_bc28_4011364d"/>
      <w:bookmarkEnd w:id="2"/>
      <w:r>
        <w:rPr>
          <w:rFonts w:ascii="Arial" w:eastAsia="Arial" w:hAnsi="Arial" w:cs="Arial"/>
        </w:rPr>
        <w:t>Date:</w:t>
      </w:r>
      <w:r>
        <w:rPr>
          <w:rFonts w:ascii="Arial" w:eastAsia="Arial" w:hAnsi="Arial" w:cs="Arial"/>
        </w:rPr>
        <w:tab/>
        <w:t>(Filing No. H-         )</w:t>
      </w:r>
    </w:p>
    <w:p w:rsidR="00D45B73" w:rsidP="00D45B73">
      <w:pPr>
        <w:spacing w:before="600" w:after="300"/>
        <w:ind w:left="360"/>
        <w:jc w:val="center"/>
        <w:outlineLvl w:val="0"/>
        <w:rPr>
          <w:rFonts w:ascii="Arial" w:eastAsia="Arial" w:hAnsi="Arial" w:cs="Arial"/>
        </w:rPr>
      </w:pPr>
      <w:bookmarkStart w:id="4" w:name="_PAR__4_0c1b9e36_ae93_4990_9a41_6eb060bc"/>
      <w:bookmarkEnd w:id="3"/>
      <w:r>
        <w:rPr>
          <w:rFonts w:ascii="Arial" w:eastAsia="Arial" w:hAnsi="Arial" w:cs="Arial"/>
          <w:b/>
          <w:caps/>
          <w:sz w:val="24"/>
          <w:szCs w:val="32"/>
        </w:rPr>
        <w:t xml:space="preserve">Energy, Utilities and Technology </w:t>
      </w:r>
    </w:p>
    <w:p w:rsidR="00D45B73" w:rsidP="00D45B73">
      <w:pPr>
        <w:spacing w:before="60" w:after="60"/>
        <w:ind w:left="720"/>
        <w:rPr>
          <w:rFonts w:ascii="Arial" w:eastAsia="Arial" w:hAnsi="Arial" w:cs="Arial"/>
        </w:rPr>
      </w:pPr>
      <w:bookmarkStart w:id="5" w:name="_PAR__5_9da4ed9a_779c_4e7e_8ca3_85beea11"/>
      <w:bookmarkEnd w:id="4"/>
      <w:r>
        <w:rPr>
          <w:rFonts w:ascii="Arial" w:eastAsia="Arial" w:hAnsi="Arial" w:cs="Arial"/>
        </w:rPr>
        <w:t>Reproduced and distributed under the direction of the Clerk of the House.</w:t>
      </w:r>
    </w:p>
    <w:p w:rsidR="00D45B73" w:rsidP="00D45B73">
      <w:pPr>
        <w:spacing w:before="160" w:after="0"/>
        <w:ind w:left="360"/>
        <w:jc w:val="center"/>
        <w:outlineLvl w:val="0"/>
        <w:rPr>
          <w:rFonts w:ascii="Arial" w:eastAsia="Arial" w:hAnsi="Arial" w:cs="Arial"/>
          <w:b/>
          <w:caps/>
          <w:sz w:val="24"/>
          <w:szCs w:val="32"/>
        </w:rPr>
      </w:pPr>
      <w:bookmarkStart w:id="6" w:name="_PAR__6_4a1c9c86_89e7_4e1f_b8dd_b66b4ec4"/>
      <w:bookmarkEnd w:id="5"/>
      <w:r>
        <w:rPr>
          <w:rFonts w:ascii="Arial" w:eastAsia="Arial" w:hAnsi="Arial" w:cs="Arial"/>
          <w:b/>
          <w:caps/>
          <w:sz w:val="24"/>
          <w:szCs w:val="32"/>
        </w:rPr>
        <w:t>STATE OF MAINE</w:t>
      </w:r>
    </w:p>
    <w:p w:rsidR="00D45B73" w:rsidP="00D45B73">
      <w:pPr>
        <w:spacing w:after="0"/>
        <w:ind w:left="360"/>
        <w:jc w:val="center"/>
        <w:outlineLvl w:val="0"/>
        <w:rPr>
          <w:rFonts w:ascii="Arial" w:eastAsia="Arial" w:hAnsi="Arial" w:cs="Arial"/>
          <w:b/>
          <w:caps/>
          <w:sz w:val="24"/>
          <w:szCs w:val="32"/>
        </w:rPr>
      </w:pPr>
      <w:bookmarkStart w:id="7" w:name="_PAR__7_8fd94da2_9afd_4099_803d_c6e9bc2d"/>
      <w:bookmarkEnd w:id="6"/>
      <w:r>
        <w:rPr>
          <w:rFonts w:ascii="Arial" w:eastAsia="Arial" w:hAnsi="Arial" w:cs="Arial"/>
          <w:b/>
          <w:caps/>
          <w:sz w:val="24"/>
          <w:szCs w:val="32"/>
        </w:rPr>
        <w:t>HOUSE OF REPRESENTATIVES</w:t>
      </w:r>
    </w:p>
    <w:p w:rsidR="00D45B73" w:rsidP="00D45B73">
      <w:pPr>
        <w:spacing w:after="0"/>
        <w:ind w:left="360"/>
        <w:jc w:val="center"/>
        <w:outlineLvl w:val="0"/>
        <w:rPr>
          <w:rFonts w:ascii="Arial" w:eastAsia="Arial" w:hAnsi="Arial" w:cs="Arial"/>
          <w:b/>
          <w:caps/>
          <w:sz w:val="24"/>
          <w:szCs w:val="32"/>
        </w:rPr>
      </w:pPr>
      <w:bookmarkStart w:id="8" w:name="_PAR__8_3ff97e6b_df78_49a2_9748_750134f8"/>
      <w:bookmarkEnd w:id="7"/>
      <w:r>
        <w:rPr>
          <w:rFonts w:ascii="Arial" w:eastAsia="Arial" w:hAnsi="Arial" w:cs="Arial"/>
          <w:b/>
          <w:caps/>
          <w:sz w:val="24"/>
          <w:szCs w:val="32"/>
        </w:rPr>
        <w:t>132nd Legislature</w:t>
      </w:r>
    </w:p>
    <w:p w:rsidR="00D45B73" w:rsidP="00D45B73">
      <w:pPr>
        <w:spacing w:after="0"/>
        <w:ind w:left="360"/>
        <w:jc w:val="center"/>
        <w:outlineLvl w:val="0"/>
        <w:rPr>
          <w:rFonts w:ascii="Arial" w:eastAsia="Arial" w:hAnsi="Arial" w:cs="Arial"/>
          <w:b/>
          <w:caps/>
          <w:sz w:val="24"/>
          <w:szCs w:val="32"/>
        </w:rPr>
      </w:pPr>
      <w:bookmarkStart w:id="9" w:name="_PAR__9_9555d2e5_d86e_4d1a_b22e_f3367314"/>
      <w:bookmarkEnd w:id="8"/>
      <w:r>
        <w:rPr>
          <w:rFonts w:ascii="Arial" w:eastAsia="Arial" w:hAnsi="Arial" w:cs="Arial"/>
          <w:b/>
          <w:caps/>
          <w:sz w:val="24"/>
          <w:szCs w:val="32"/>
        </w:rPr>
        <w:t>Second Regular Session</w:t>
      </w:r>
    </w:p>
    <w:p w:rsidR="00D45B73" w:rsidP="00D45B73">
      <w:pPr>
        <w:spacing w:before="400" w:after="200"/>
        <w:ind w:left="360" w:firstLine="360"/>
        <w:rPr>
          <w:rFonts w:ascii="Arial" w:eastAsia="Arial" w:hAnsi="Arial" w:cs="Arial"/>
        </w:rPr>
      </w:pPr>
      <w:bookmarkStart w:id="10" w:name="_PAR__10_acefdc87_8f24_404f_9d08_0108abe"/>
      <w:bookmarkEnd w:id="9"/>
      <w:r>
        <w:rPr>
          <w:rFonts w:ascii="Arial" w:eastAsia="Arial" w:hAnsi="Arial" w:cs="Arial"/>
          <w:szCs w:val="22"/>
        </w:rPr>
        <w:t>COMMITTEE AMENDMENT “      ” to H.P. 1482, L.D. 2203, “An Act to Limit Rates Charged to Low-income Electricity Consumers”</w:t>
      </w:r>
    </w:p>
    <w:p w:rsidR="00D45B73" w:rsidP="00D45B73">
      <w:pPr>
        <w:ind w:left="360" w:firstLine="360"/>
        <w:rPr>
          <w:rFonts w:ascii="Arial" w:eastAsia="Arial" w:hAnsi="Arial" w:cs="Arial"/>
        </w:rPr>
      </w:pPr>
      <w:bookmarkStart w:id="11" w:name="_INSTRUCTION__6ceb939f_071b_42f0_9a96_31"/>
      <w:bookmarkStart w:id="12" w:name="_PAR__11_c9671865_25bd_4e13_8fb5_1bab9f0"/>
      <w:bookmarkEnd w:id="0"/>
      <w:bookmarkEnd w:id="10"/>
      <w:r>
        <w:rPr>
          <w:rFonts w:ascii="Arial" w:eastAsia="Arial" w:hAnsi="Arial" w:cs="Arial"/>
        </w:rPr>
        <w:t>Amend the bill by striking out everything after the enacting clause and inserting the following:</w:t>
      </w:r>
    </w:p>
    <w:p w:rsidR="00D45B73" w:rsidP="00D45B73">
      <w:pPr>
        <w:ind w:left="360" w:firstLine="360"/>
        <w:rPr>
          <w:rFonts w:ascii="Arial" w:eastAsia="Arial" w:hAnsi="Arial" w:cs="Arial"/>
        </w:rPr>
      </w:pPr>
      <w:bookmarkStart w:id="13" w:name="_PAR__12_d8ccfa1b_e43a_4bf5_8a25_9365707"/>
      <w:bookmarkEnd w:id="12"/>
      <w:r>
        <w:rPr>
          <w:rFonts w:ascii="Arial" w:eastAsia="Arial" w:hAnsi="Arial" w:cs="Arial"/>
        </w:rPr>
        <w:t>'</w:t>
      </w:r>
      <w:r>
        <w:rPr>
          <w:rFonts w:ascii="Arial" w:eastAsia="Arial" w:hAnsi="Arial" w:cs="Arial"/>
          <w:b/>
          <w:sz w:val="24"/>
        </w:rPr>
        <w:t>Sec. 1.  35-A MRSA §3203, sub-§4-D</w:t>
      </w:r>
      <w:r>
        <w:rPr>
          <w:rFonts w:ascii="Arial" w:eastAsia="Arial" w:hAnsi="Arial" w:cs="Arial"/>
        </w:rPr>
        <w:t xml:space="preserve"> is enacted to read:</w:t>
      </w:r>
    </w:p>
    <w:p w:rsidR="00D45B73" w:rsidP="00D45B73">
      <w:pPr>
        <w:ind w:left="360" w:firstLine="360"/>
        <w:rPr>
          <w:rFonts w:ascii="Arial" w:eastAsia="Arial" w:hAnsi="Arial" w:cs="Arial"/>
        </w:rPr>
      </w:pPr>
      <w:bookmarkStart w:id="14" w:name="_PAR__13_7b3a4dff_d2a8_4d82_b79c_5eda2e2"/>
      <w:bookmarkEnd w:id="13"/>
      <w:r>
        <w:rPr>
          <w:rFonts w:ascii="Arial" w:eastAsia="Arial" w:hAnsi="Arial" w:cs="Arial"/>
          <w:b/>
          <w:u w:val="single"/>
        </w:rPr>
        <w:t xml:space="preserve">4-D.  Low-income assistance program; rate limitation. </w:t>
      </w:r>
      <w:r>
        <w:rPr>
          <w:rFonts w:ascii="Arial" w:eastAsia="Arial" w:hAnsi="Arial" w:cs="Arial"/>
          <w:u w:val="single"/>
        </w:rPr>
        <w:t xml:space="preserve"> A competitive electricity provider may not provide to a customer receiving low-income assistance authorized by section 3214, subsection 2 generation service at a rate that is greater than the standard-offer service rate established under section 3212 that would otherwise be applicable to that customer. The commission may adopt rules to implement this subsection, including, but not limited to, rules governing the sharing of low-income assistance customer data by a transmission and distribution utility with a competitive electricity provider. Rules adopted under this subsection are routine technical rules as defined in Title 5, chapter 375, subchapter 2‑A.</w:t>
      </w:r>
      <w:r>
        <w:rPr>
          <w:rFonts w:ascii="Arial" w:eastAsia="Arial" w:hAnsi="Arial" w:cs="Arial"/>
        </w:rPr>
        <w:t>'</w:t>
      </w:r>
    </w:p>
    <w:p w:rsidR="00D45B73" w:rsidP="00D45B73">
      <w:pPr>
        <w:ind w:left="360" w:firstLine="360"/>
        <w:rPr>
          <w:rFonts w:ascii="Arial" w:eastAsia="Arial" w:hAnsi="Arial" w:cs="Arial"/>
        </w:rPr>
      </w:pPr>
      <w:bookmarkStart w:id="15" w:name="_INSTRUCTION__39027f23_65cd_4ad4_bf9e_c3"/>
      <w:bookmarkStart w:id="16" w:name="_PAR__14_97f02a1d_411f_438d_bd81_5ad20ed"/>
      <w:bookmarkEnd w:id="11"/>
      <w:bookmarkEnd w:id="14"/>
      <w:r>
        <w:rPr>
          <w:rFonts w:ascii="Arial" w:eastAsia="Arial" w:hAnsi="Arial" w:cs="Arial"/>
        </w:rPr>
        <w:t>Amend the bill by relettering or renumbering any nonconsecutive Part letter or section number to read consecutively.</w:t>
      </w:r>
    </w:p>
    <w:p w:rsidR="00D45B73" w:rsidP="00D45B73">
      <w:pPr>
        <w:keepNext/>
        <w:spacing w:before="240"/>
        <w:ind w:left="360"/>
        <w:jc w:val="center"/>
        <w:rPr>
          <w:rFonts w:ascii="Arial" w:eastAsia="Arial" w:hAnsi="Arial" w:cs="Arial"/>
        </w:rPr>
      </w:pPr>
      <w:bookmarkStart w:id="17" w:name="_SUMMARY__e5c6575b_bc75_4b21_b5fb_c52503"/>
      <w:bookmarkStart w:id="18" w:name="_PAR__15_37fdd600_377d_412c_97dc_a0de8ab"/>
      <w:bookmarkEnd w:id="15"/>
      <w:bookmarkEnd w:id="16"/>
      <w:r>
        <w:rPr>
          <w:rFonts w:ascii="Arial" w:eastAsia="Arial" w:hAnsi="Arial" w:cs="Arial"/>
          <w:b/>
          <w:sz w:val="24"/>
        </w:rPr>
        <w:t>SUMMARY</w:t>
      </w:r>
    </w:p>
    <w:p w:rsidR="00D45B73" w:rsidP="00D45B73">
      <w:pPr>
        <w:keepNext/>
        <w:ind w:left="360" w:firstLine="360"/>
        <w:rPr>
          <w:rFonts w:ascii="Arial" w:eastAsia="Arial" w:hAnsi="Arial" w:cs="Arial"/>
        </w:rPr>
      </w:pPr>
      <w:bookmarkStart w:id="19" w:name="_PAR__16_7851d326_7dae_43c2_a459_a80e3a6"/>
      <w:bookmarkEnd w:id="18"/>
      <w:r w:rsidRPr="00946FAF">
        <w:rPr>
          <w:rFonts w:ascii="Arial" w:eastAsia="Arial" w:hAnsi="Arial" w:cs="Arial"/>
        </w:rPr>
        <w:t xml:space="preserve">This amendment replaces the bill. It prohibits a competitive electricity provider from providing to a customer receiving low-income assistance </w:t>
      </w:r>
      <w:r>
        <w:rPr>
          <w:rFonts w:ascii="Arial" w:eastAsia="Arial" w:hAnsi="Arial" w:cs="Arial"/>
        </w:rPr>
        <w:t xml:space="preserve">generation service </w:t>
      </w:r>
      <w:r w:rsidRPr="00946FAF">
        <w:rPr>
          <w:rFonts w:ascii="Arial" w:eastAsia="Arial" w:hAnsi="Arial" w:cs="Arial"/>
        </w:rPr>
        <w:t xml:space="preserve">at a rate that is </w:t>
      </w:r>
      <w:r>
        <w:rPr>
          <w:rFonts w:ascii="Arial" w:eastAsia="Arial" w:hAnsi="Arial" w:cs="Arial"/>
        </w:rPr>
        <w:t>greater</w:t>
      </w:r>
      <w:r w:rsidRPr="00946FAF">
        <w:rPr>
          <w:rFonts w:ascii="Arial" w:eastAsia="Arial" w:hAnsi="Arial" w:cs="Arial"/>
        </w:rPr>
        <w:t xml:space="preserve"> than the standard</w:t>
      </w:r>
      <w:r>
        <w:rPr>
          <w:rFonts w:ascii="Arial" w:eastAsia="Arial" w:hAnsi="Arial" w:cs="Arial"/>
        </w:rPr>
        <w:t>-</w:t>
      </w:r>
      <w:r w:rsidRPr="00946FAF">
        <w:rPr>
          <w:rFonts w:ascii="Arial" w:eastAsia="Arial" w:hAnsi="Arial" w:cs="Arial"/>
        </w:rPr>
        <w:t xml:space="preserve">offer service rate that would otherwise be applicable to that customer. The amendment authorizes the Public Utilities Commission to adopt rules to implement </w:t>
      </w:r>
      <w:r>
        <w:rPr>
          <w:rFonts w:ascii="Arial" w:eastAsia="Arial" w:hAnsi="Arial" w:cs="Arial"/>
        </w:rPr>
        <w:t>this provision</w:t>
      </w:r>
      <w:r w:rsidRPr="00946FAF">
        <w:rPr>
          <w:rFonts w:ascii="Arial" w:eastAsia="Arial" w:hAnsi="Arial" w:cs="Arial"/>
        </w:rPr>
        <w:t>.</w:t>
      </w:r>
      <w:r>
        <w:rPr>
          <w:rFonts w:ascii="Arial" w:eastAsia="Arial" w:hAnsi="Arial" w:cs="Arial"/>
        </w:rPr>
        <w:t xml:space="preserve"> Rules may include, but are not limited to, rules governing the sharing of low-income assistance customer data by a transmission and distribution utility with a competitive electricity provider.</w:t>
      </w:r>
    </w:p>
    <w:p w:rsidR="00D45B73" w:rsidP="00D45B73">
      <w:pPr>
        <w:keepNext/>
        <w:spacing w:before="60" w:after="60"/>
        <w:ind w:left="360"/>
        <w:jc w:val="center"/>
        <w:rPr>
          <w:rFonts w:ascii="Arial" w:eastAsia="Arial" w:hAnsi="Arial" w:cs="Arial"/>
        </w:rPr>
      </w:pPr>
      <w:bookmarkStart w:id="20" w:name="_FISCAL_NOTE_REQUIRED__8fe1d775_44ad_4ba"/>
      <w:bookmarkStart w:id="21" w:name="_PAR__17_b240ac18_6a10_4a5d_855a_66d9c86"/>
      <w:bookmarkEnd w:id="19"/>
      <w:r>
        <w:rPr>
          <w:rFonts w:ascii="Arial" w:eastAsia="Arial" w:hAnsi="Arial" w:cs="Arial"/>
          <w:b/>
        </w:rPr>
        <w:t>FISCAL NOTE REQUIRED</w:t>
      </w:r>
    </w:p>
    <w:p w:rsidR="00000000" w:rsidRPr="00D45B73" w:rsidP="00D45B73">
      <w:pPr>
        <w:spacing w:before="60" w:after="60"/>
        <w:ind w:left="360"/>
        <w:jc w:val="center"/>
        <w:rPr>
          <w:rFonts w:ascii="Arial" w:eastAsia="Arial" w:hAnsi="Arial" w:cs="Arial"/>
          <w:b/>
        </w:rPr>
      </w:pPr>
      <w:bookmarkStart w:id="22" w:name="_PAR__18_c869b9b5_15a2_4e93_aff5_04ab79c"/>
      <w:bookmarkEnd w:id="21"/>
      <w:r>
        <w:rPr>
          <w:rFonts w:ascii="Arial" w:eastAsia="Arial" w:hAnsi="Arial" w:cs="Arial"/>
          <w:b/>
        </w:rPr>
        <w:t>(See attached)</w:t>
      </w:r>
      <w:bookmarkEnd w:id="1"/>
      <w:bookmarkEnd w:id="17"/>
      <w:bookmarkEnd w:id="20"/>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Limit Rates Charged to Low-income Electricity Consumers</w:t>
    </w:r>
  </w:p>
  <w:p>
    <w:pPr>
      <w:suppressLineNumbers/>
      <w:spacing w:before="0" w:after="0"/>
      <w:jc w:val="center"/>
      <w:rPr>
        <w:rFonts w:ascii="Arial" w:eastAsia="Arial" w:hAnsi="Arial" w:cs="Arial"/>
      </w:rPr>
    </w:pPr>
    <w:r>
      <w:rPr>
        <w:rFonts w:ascii="Arial" w:eastAsia="Arial" w:hAnsi="Arial" w:cs="Arial"/>
        <w:sz w:val="22"/>
      </w:rPr>
      <w:t>L.D. 2203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46FAF"/>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45B73"/>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