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Certain State Tax Laws</w:t>
      </w:r>
    </w:p>
    <w:p w:rsidR="00B547D0" w:rsidP="00B547D0">
      <w:pPr>
        <w:spacing w:after="240"/>
        <w:ind w:left="360"/>
        <w:jc w:val="right"/>
        <w:rPr>
          <w:rFonts w:ascii="Arial" w:eastAsia="Arial" w:hAnsi="Arial" w:cs="Arial"/>
          <w:caps/>
        </w:rPr>
      </w:pPr>
      <w:bookmarkStart w:id="0" w:name="_AMEND_TITLE__5ac0a81b_4900_444b_938e_8d"/>
      <w:bookmarkStart w:id="1" w:name="_PAGE__1_80b63449_cbf4_496d_aa54_d6017c3"/>
      <w:bookmarkStart w:id="2" w:name="_PAR__2_c2224c54_da43_48b8_878d_79735eda"/>
      <w:r>
        <w:rPr>
          <w:rFonts w:ascii="Arial" w:eastAsia="Arial" w:hAnsi="Arial" w:cs="Arial"/>
          <w:caps/>
        </w:rPr>
        <w:t>L.D. 2188</w:t>
      </w:r>
    </w:p>
    <w:p w:rsidR="00B547D0" w:rsidP="00B547D0">
      <w:pPr>
        <w:tabs>
          <w:tab w:val="right" w:pos="8928"/>
        </w:tabs>
        <w:spacing w:after="360"/>
        <w:ind w:left="360"/>
        <w:rPr>
          <w:rFonts w:ascii="Arial" w:eastAsia="Arial" w:hAnsi="Arial" w:cs="Arial"/>
        </w:rPr>
      </w:pPr>
      <w:bookmarkStart w:id="3" w:name="_PAR__3_0f835d04_eedc_406c_ac1d_d414ba3f"/>
      <w:bookmarkEnd w:id="2"/>
      <w:r>
        <w:rPr>
          <w:rFonts w:ascii="Arial" w:eastAsia="Arial" w:hAnsi="Arial" w:cs="Arial"/>
        </w:rPr>
        <w:t>Date:</w:t>
      </w:r>
      <w:r>
        <w:rPr>
          <w:rFonts w:ascii="Arial" w:eastAsia="Arial" w:hAnsi="Arial" w:cs="Arial"/>
        </w:rPr>
        <w:tab/>
        <w:t>(Filing No. H-         )</w:t>
      </w:r>
    </w:p>
    <w:p w:rsidR="00B547D0" w:rsidP="00B547D0">
      <w:pPr>
        <w:spacing w:before="600" w:after="300"/>
        <w:ind w:left="360"/>
        <w:jc w:val="center"/>
        <w:outlineLvl w:val="0"/>
        <w:rPr>
          <w:rFonts w:ascii="Arial" w:eastAsia="Arial" w:hAnsi="Arial" w:cs="Arial"/>
        </w:rPr>
      </w:pPr>
      <w:bookmarkStart w:id="4" w:name="_PAR__4_3446d2e1_0a91_41fb_a4e7_9f9aabb7"/>
      <w:bookmarkEnd w:id="3"/>
      <w:r>
        <w:rPr>
          <w:rFonts w:ascii="Arial" w:eastAsia="Arial" w:hAnsi="Arial" w:cs="Arial"/>
          <w:b/>
          <w:caps/>
          <w:sz w:val="24"/>
          <w:szCs w:val="32"/>
        </w:rPr>
        <w:t xml:space="preserve">Taxation </w:t>
      </w:r>
    </w:p>
    <w:p w:rsidR="00B547D0" w:rsidP="00B547D0">
      <w:pPr>
        <w:spacing w:before="60" w:after="60"/>
        <w:ind w:left="720"/>
        <w:rPr>
          <w:rFonts w:ascii="Arial" w:eastAsia="Arial" w:hAnsi="Arial" w:cs="Arial"/>
        </w:rPr>
      </w:pPr>
      <w:bookmarkStart w:id="5" w:name="_PAR__5_bc51158e_4286_4daa_bc70_863f4c6c"/>
      <w:bookmarkEnd w:id="4"/>
      <w:r>
        <w:rPr>
          <w:rFonts w:ascii="Arial" w:eastAsia="Arial" w:hAnsi="Arial" w:cs="Arial"/>
        </w:rPr>
        <w:t>Reproduced and distributed under the direction of the Clerk of the House.</w:t>
      </w:r>
    </w:p>
    <w:p w:rsidR="00B547D0" w:rsidP="00B547D0">
      <w:pPr>
        <w:spacing w:before="160" w:after="0"/>
        <w:ind w:left="360"/>
        <w:jc w:val="center"/>
        <w:outlineLvl w:val="0"/>
        <w:rPr>
          <w:rFonts w:ascii="Arial" w:eastAsia="Arial" w:hAnsi="Arial" w:cs="Arial"/>
          <w:b/>
          <w:caps/>
          <w:sz w:val="24"/>
          <w:szCs w:val="32"/>
        </w:rPr>
      </w:pPr>
      <w:bookmarkStart w:id="6" w:name="_PAR__6_38c09845_0952_4885_bb58_159ba13a"/>
      <w:bookmarkEnd w:id="5"/>
      <w:r>
        <w:rPr>
          <w:rFonts w:ascii="Arial" w:eastAsia="Arial" w:hAnsi="Arial" w:cs="Arial"/>
          <w:b/>
          <w:caps/>
          <w:sz w:val="24"/>
          <w:szCs w:val="32"/>
        </w:rPr>
        <w:t>STATE OF MAINE</w:t>
      </w:r>
    </w:p>
    <w:p w:rsidR="00B547D0" w:rsidP="00B547D0">
      <w:pPr>
        <w:spacing w:after="0"/>
        <w:ind w:left="360"/>
        <w:jc w:val="center"/>
        <w:outlineLvl w:val="0"/>
        <w:rPr>
          <w:rFonts w:ascii="Arial" w:eastAsia="Arial" w:hAnsi="Arial" w:cs="Arial"/>
          <w:b/>
          <w:caps/>
          <w:sz w:val="24"/>
          <w:szCs w:val="32"/>
        </w:rPr>
      </w:pPr>
      <w:bookmarkStart w:id="7" w:name="_PAR__7_9a755e3a_e854_4daa_b7e8_5b94f18e"/>
      <w:bookmarkEnd w:id="6"/>
      <w:r>
        <w:rPr>
          <w:rFonts w:ascii="Arial" w:eastAsia="Arial" w:hAnsi="Arial" w:cs="Arial"/>
          <w:b/>
          <w:caps/>
          <w:sz w:val="24"/>
          <w:szCs w:val="32"/>
        </w:rPr>
        <w:t>HOUSE OF REPRESENTATIVES</w:t>
      </w:r>
    </w:p>
    <w:p w:rsidR="00B547D0" w:rsidP="00B547D0">
      <w:pPr>
        <w:spacing w:after="0"/>
        <w:ind w:left="360"/>
        <w:jc w:val="center"/>
        <w:outlineLvl w:val="0"/>
        <w:rPr>
          <w:rFonts w:ascii="Arial" w:eastAsia="Arial" w:hAnsi="Arial" w:cs="Arial"/>
          <w:b/>
          <w:caps/>
          <w:sz w:val="24"/>
          <w:szCs w:val="32"/>
        </w:rPr>
      </w:pPr>
      <w:bookmarkStart w:id="8" w:name="_PAR__8_52a6ea52_b0cf_4244_9240_1502dd1d"/>
      <w:bookmarkEnd w:id="7"/>
      <w:r>
        <w:rPr>
          <w:rFonts w:ascii="Arial" w:eastAsia="Arial" w:hAnsi="Arial" w:cs="Arial"/>
          <w:b/>
          <w:caps/>
          <w:sz w:val="24"/>
          <w:szCs w:val="32"/>
        </w:rPr>
        <w:t>132nd Legislature</w:t>
      </w:r>
    </w:p>
    <w:p w:rsidR="00B547D0" w:rsidP="00B547D0">
      <w:pPr>
        <w:spacing w:after="0"/>
        <w:ind w:left="360"/>
        <w:jc w:val="center"/>
        <w:outlineLvl w:val="0"/>
        <w:rPr>
          <w:rFonts w:ascii="Arial" w:eastAsia="Arial" w:hAnsi="Arial" w:cs="Arial"/>
          <w:b/>
          <w:caps/>
          <w:sz w:val="24"/>
          <w:szCs w:val="32"/>
        </w:rPr>
      </w:pPr>
      <w:bookmarkStart w:id="9" w:name="_PAR__9_30c29fc2_fde8_429c_aae0_29de9370"/>
      <w:bookmarkEnd w:id="8"/>
      <w:r>
        <w:rPr>
          <w:rFonts w:ascii="Arial" w:eastAsia="Arial" w:hAnsi="Arial" w:cs="Arial"/>
          <w:b/>
          <w:caps/>
          <w:sz w:val="24"/>
          <w:szCs w:val="32"/>
        </w:rPr>
        <w:t>Second Regular Session</w:t>
      </w:r>
    </w:p>
    <w:p w:rsidR="00B547D0" w:rsidP="00B547D0">
      <w:pPr>
        <w:spacing w:before="400" w:after="200"/>
        <w:ind w:left="360" w:firstLine="360"/>
        <w:rPr>
          <w:rFonts w:ascii="Arial" w:eastAsia="Arial" w:hAnsi="Arial" w:cs="Arial"/>
        </w:rPr>
      </w:pPr>
      <w:bookmarkStart w:id="10" w:name="_PAR__10_038503bd_2a4d_42e0_88cd_c85517d"/>
      <w:bookmarkEnd w:id="9"/>
      <w:r>
        <w:rPr>
          <w:rFonts w:ascii="Arial" w:eastAsia="Arial" w:hAnsi="Arial" w:cs="Arial"/>
          <w:szCs w:val="22"/>
        </w:rPr>
        <w:t>COMMITTEE AMENDMENT “      ” to H.P. 1469, L.D. 2188, “An Act to Amend Certain State Tax Laws”</w:t>
      </w:r>
    </w:p>
    <w:p w:rsidR="00B547D0" w:rsidP="00B547D0">
      <w:pPr>
        <w:ind w:left="360" w:firstLine="360"/>
        <w:rPr>
          <w:rFonts w:ascii="Arial" w:eastAsia="Arial" w:hAnsi="Arial" w:cs="Arial"/>
        </w:rPr>
      </w:pPr>
      <w:bookmarkStart w:id="11" w:name="_INSTRUCTION__5f6a9018_017a_4ecf_b3c2_34"/>
      <w:bookmarkStart w:id="12" w:name="_PAR__11_c924291c_cb62_4ad6_ad2e_1fe20fb"/>
      <w:bookmarkEnd w:id="0"/>
      <w:bookmarkEnd w:id="10"/>
      <w:r>
        <w:rPr>
          <w:rFonts w:ascii="Arial" w:eastAsia="Arial" w:hAnsi="Arial" w:cs="Arial"/>
        </w:rPr>
        <w:t>Amend the bill in Part A by inserting before section 1 the following:</w:t>
      </w:r>
    </w:p>
    <w:p w:rsidR="00B547D0" w:rsidP="00B547D0">
      <w:pPr>
        <w:ind w:left="360" w:firstLine="360"/>
        <w:rPr>
          <w:rFonts w:ascii="Arial" w:eastAsia="Arial" w:hAnsi="Arial" w:cs="Arial"/>
        </w:rPr>
      </w:pPr>
      <w:bookmarkStart w:id="13" w:name="_PAR__12_21795dbb_b088_4474_815d_856faae"/>
      <w:bookmarkEnd w:id="12"/>
      <w:r>
        <w:rPr>
          <w:rFonts w:ascii="Arial" w:eastAsia="Arial" w:hAnsi="Arial" w:cs="Arial"/>
        </w:rPr>
        <w:t>'</w:t>
      </w:r>
      <w:r>
        <w:rPr>
          <w:rFonts w:ascii="Arial" w:eastAsia="Arial" w:hAnsi="Arial" w:cs="Arial"/>
          <w:b/>
          <w:sz w:val="24"/>
        </w:rPr>
        <w:t>Sec. A-1.  36 MRSA §111, sub-§2,</w:t>
      </w:r>
      <w:r>
        <w:rPr>
          <w:rFonts w:ascii="Arial" w:eastAsia="Arial" w:hAnsi="Arial" w:cs="Arial"/>
        </w:rPr>
        <w:t xml:space="preserve"> as repealed and replaced by PL 2011, c. 380, Pt. J, §1, is amended to read:</w:t>
      </w:r>
    </w:p>
    <w:p w:rsidR="00B547D0" w:rsidP="00B547D0">
      <w:pPr>
        <w:ind w:left="360" w:firstLine="360"/>
        <w:rPr>
          <w:rFonts w:ascii="Arial" w:eastAsia="Arial" w:hAnsi="Arial" w:cs="Arial"/>
        </w:rPr>
      </w:pPr>
      <w:bookmarkStart w:id="14" w:name="_PAR__13_7aeac6b6_15ca_4e9d_ad96_c6814fe"/>
      <w:bookmarkEnd w:id="13"/>
      <w:r>
        <w:rPr>
          <w:rFonts w:ascii="Arial" w:eastAsia="Arial" w:hAnsi="Arial" w:cs="Arial"/>
          <w:b/>
        </w:rPr>
        <w:t xml:space="preserve">2.  Notice. </w:t>
      </w:r>
      <w:r>
        <w:rPr>
          <w:rFonts w:ascii="Arial" w:eastAsia="Arial" w:hAnsi="Arial" w:cs="Arial"/>
        </w:rPr>
        <w:t xml:space="preserve"> "Notice" means written notification served personally, sent by certified mail or sent by first-class mail to the last known address of the person for whom the notification is intended. A person's last known address is the person's address as reported on the person's most recently filed Maine tax return or as otherwise specified by the person in written correspondence on file with the bureau, unless the bureau determines that a different address is the most current address for the person, in which case the bureau must use that address.  Notice by first-class mail is deemed to be received </w:t>
      </w:r>
      <w:r>
        <w:rPr>
          <w:rFonts w:ascii="Arial" w:eastAsia="Arial" w:hAnsi="Arial" w:cs="Arial"/>
          <w:strike/>
        </w:rPr>
        <w:t>3</w:t>
      </w:r>
      <w:r>
        <w:rPr>
          <w:rFonts w:ascii="Arial" w:eastAsia="Arial" w:hAnsi="Arial" w:cs="Arial"/>
        </w:rPr>
        <w:t xml:space="preserve"> </w:t>
      </w:r>
      <w:r>
        <w:rPr>
          <w:rFonts w:ascii="Arial" w:eastAsia="Arial" w:hAnsi="Arial" w:cs="Arial"/>
          <w:u w:val="single"/>
        </w:rPr>
        <w:t>7</w:t>
      </w:r>
      <w:r>
        <w:rPr>
          <w:rFonts w:ascii="Arial" w:eastAsia="Arial" w:hAnsi="Arial" w:cs="Arial"/>
        </w:rPr>
        <w:t xml:space="preserve"> days after the mailing, excluding Sundays and legal holidays.  If the State Tax Assessor is required by a provision of this Title to give notice by certified mail and attempts to do so but the mailing is returned with the notation "unclaimed" or "refused" or a similar notation, the assessor may then give notice by sending the notification by first-class mail. In the case of a joint income tax return, notice may be a single joint notice except that, if the assessor is notified by either spouse that separate residences have been established, the assessor must mail a joint notice to each spouse.  If the person for whom notification is intended is deceased or under a legal disability, and the assessor knows of the existence of a fiduciary relationship with respect to that person, notice must be sent by first-class mail to the last known address of the fiduciary.'</w:t>
      </w:r>
    </w:p>
    <w:p w:rsidR="00B547D0" w:rsidP="00B547D0">
      <w:pPr>
        <w:ind w:left="360" w:firstLine="360"/>
        <w:rPr>
          <w:rFonts w:ascii="Arial" w:eastAsia="Arial" w:hAnsi="Arial" w:cs="Arial"/>
        </w:rPr>
      </w:pPr>
      <w:bookmarkStart w:id="15" w:name="_INSTRUCTION__4f7e069d_d43c_4b63_aa5e_51"/>
      <w:bookmarkStart w:id="16" w:name="_PAR__14_d5b913b1_9b87_4fd9_9752_e6fe896"/>
      <w:bookmarkEnd w:id="11"/>
      <w:bookmarkEnd w:id="14"/>
      <w:r>
        <w:rPr>
          <w:rFonts w:ascii="Arial" w:eastAsia="Arial" w:hAnsi="Arial" w:cs="Arial"/>
        </w:rPr>
        <w:t>Amend the bill in Part A by striking out all of section 3 and inserting the following:</w:t>
      </w:r>
    </w:p>
    <w:p w:rsidR="00B547D0" w:rsidP="00B547D0">
      <w:pPr>
        <w:ind w:left="360" w:firstLine="360"/>
        <w:rPr>
          <w:rFonts w:ascii="Arial" w:eastAsia="Arial" w:hAnsi="Arial" w:cs="Arial"/>
        </w:rPr>
      </w:pPr>
      <w:bookmarkStart w:id="17" w:name="_PAR__15_ba074284_c28d_40ef_a142_4be98f6"/>
      <w:bookmarkEnd w:id="16"/>
      <w:r>
        <w:rPr>
          <w:rFonts w:ascii="Arial" w:eastAsia="Arial" w:hAnsi="Arial" w:cs="Arial"/>
        </w:rPr>
        <w:t>'</w:t>
      </w:r>
      <w:r>
        <w:rPr>
          <w:rFonts w:ascii="Arial" w:eastAsia="Arial" w:hAnsi="Arial" w:cs="Arial"/>
          <w:b/>
          <w:sz w:val="24"/>
        </w:rPr>
        <w:t>Sec. A-3.  36 MRSA §5122, sub-§2, ¶M-3,</w:t>
      </w:r>
      <w:r>
        <w:rPr>
          <w:rFonts w:ascii="Arial" w:eastAsia="Arial" w:hAnsi="Arial" w:cs="Arial"/>
        </w:rPr>
        <w:t xml:space="preserve"> as corrected by RR 2025, c. 1, Pt. A, §55, is amended by amending subparagraph (1) to read:</w:t>
      </w:r>
    </w:p>
    <w:p w:rsidR="00B547D0" w:rsidP="00B547D0">
      <w:pPr>
        <w:ind w:left="1080"/>
        <w:rPr>
          <w:rFonts w:ascii="Arial" w:eastAsia="Arial" w:hAnsi="Arial" w:cs="Arial"/>
        </w:rPr>
      </w:pPr>
      <w:bookmarkStart w:id="18" w:name="_PAR__16_0884b674_3d56_4b06_b0b5_73da765"/>
      <w:bookmarkEnd w:id="17"/>
      <w:r>
        <w:rPr>
          <w:rFonts w:ascii="Arial" w:eastAsia="Arial" w:hAnsi="Arial" w:cs="Arial"/>
        </w:rPr>
        <w:t xml:space="preserve">(1)  For individuals filing as single individuals </w:t>
      </w:r>
      <w:r>
        <w:rPr>
          <w:rFonts w:ascii="Arial" w:eastAsia="Arial" w:hAnsi="Arial" w:cs="Arial"/>
          <w:u w:val="single"/>
        </w:rPr>
        <w:t>and for married individuals filing separate returns</w:t>
      </w:r>
      <w:r>
        <w:rPr>
          <w:rFonts w:ascii="Arial" w:eastAsia="Arial" w:hAnsi="Arial" w:cs="Arial"/>
        </w:rPr>
        <w:t>, $125,000;</w:t>
      </w:r>
    </w:p>
    <w:p w:rsidR="00B547D0" w:rsidP="00B547D0">
      <w:pPr>
        <w:ind w:left="360" w:firstLine="360"/>
        <w:rPr>
          <w:rFonts w:ascii="Arial" w:eastAsia="Arial" w:hAnsi="Arial" w:cs="Arial"/>
        </w:rPr>
      </w:pPr>
      <w:bookmarkStart w:id="19" w:name="_INSTRUCTION__ab5e9de8_26b6_4a41_8931_cd"/>
      <w:bookmarkStart w:id="20" w:name="_PAGE__2_a5a6f4cb_f087_4a0b_a037_064cf04"/>
      <w:bookmarkStart w:id="21" w:name="_PAR__2_0e3bf6e4_bd28_45f3_9372_68d6b96d"/>
      <w:bookmarkEnd w:id="1"/>
      <w:bookmarkEnd w:id="15"/>
      <w:bookmarkEnd w:id="18"/>
      <w:r>
        <w:rPr>
          <w:rFonts w:ascii="Arial" w:eastAsia="Arial" w:hAnsi="Arial" w:cs="Arial"/>
          <w:b/>
          <w:sz w:val="24"/>
        </w:rPr>
        <w:t>Sec. A-4.  36 MRSA §5122, sub-§2, ¶M-3,</w:t>
      </w:r>
      <w:r>
        <w:rPr>
          <w:rFonts w:ascii="Arial" w:eastAsia="Arial" w:hAnsi="Arial" w:cs="Arial"/>
        </w:rPr>
        <w:t xml:space="preserve"> as corrected by RR 2025, c. 1, Pt. A, §55, is amended by amending subparagraph (2) to read:</w:t>
      </w:r>
    </w:p>
    <w:p w:rsidR="00B547D0" w:rsidP="00B547D0">
      <w:pPr>
        <w:ind w:left="1080"/>
        <w:rPr>
          <w:rFonts w:ascii="Arial" w:eastAsia="Arial" w:hAnsi="Arial" w:cs="Arial"/>
        </w:rPr>
      </w:pPr>
      <w:bookmarkStart w:id="22" w:name="_PAR__3_730a4047_0ccb_4976_a5fb_14b44f4f"/>
      <w:bookmarkEnd w:id="21"/>
      <w:r>
        <w:rPr>
          <w:rFonts w:ascii="Arial" w:eastAsia="Arial" w:hAnsi="Arial" w:cs="Arial"/>
        </w:rPr>
        <w:t xml:space="preserve">(2)  For individuals filing as heads of households, $187,500; </w:t>
      </w:r>
      <w:r>
        <w:rPr>
          <w:rFonts w:ascii="Arial" w:eastAsia="Arial" w:hAnsi="Arial" w:cs="Arial"/>
          <w:u w:val="single"/>
        </w:rPr>
        <w:t>or</w:t>
      </w:r>
    </w:p>
    <w:p w:rsidR="00B547D0" w:rsidP="00B547D0">
      <w:pPr>
        <w:ind w:left="360" w:firstLine="360"/>
        <w:rPr>
          <w:rFonts w:ascii="Arial" w:eastAsia="Arial" w:hAnsi="Arial" w:cs="Arial"/>
        </w:rPr>
      </w:pPr>
      <w:bookmarkStart w:id="23" w:name="_PAR__4_35d5391c_6fb6_4d6d_8b7a_a03f9af9"/>
      <w:bookmarkEnd w:id="22"/>
      <w:r>
        <w:rPr>
          <w:rFonts w:ascii="Arial" w:eastAsia="Arial" w:hAnsi="Arial" w:cs="Arial"/>
          <w:b/>
          <w:sz w:val="24"/>
        </w:rPr>
        <w:t>Sec. A-5.  36 MRSA §5122, sub-§2, ¶M-3,</w:t>
      </w:r>
      <w:r>
        <w:rPr>
          <w:rFonts w:ascii="Arial" w:eastAsia="Arial" w:hAnsi="Arial" w:cs="Arial"/>
        </w:rPr>
        <w:t xml:space="preserve"> as corrected by RR 2025, c. 1, Pt. A, §55, is amended by amending subparagraph (3) to read:</w:t>
      </w:r>
    </w:p>
    <w:p w:rsidR="00B547D0" w:rsidP="00B547D0">
      <w:pPr>
        <w:ind w:left="1080"/>
        <w:rPr>
          <w:rFonts w:ascii="Arial" w:eastAsia="Arial" w:hAnsi="Arial" w:cs="Arial"/>
        </w:rPr>
      </w:pPr>
      <w:bookmarkStart w:id="24" w:name="_PAR__5_0de56880_c59c_440a_8de3_c3ea877e"/>
      <w:bookmarkEnd w:id="23"/>
      <w:r>
        <w:rPr>
          <w:rFonts w:ascii="Arial" w:eastAsia="Arial" w:hAnsi="Arial" w:cs="Arial"/>
        </w:rPr>
        <w:t xml:space="preserve">(3)  For individuals filing married joint returns or as surviving spouses, $250,000; </w:t>
      </w:r>
      <w:r>
        <w:rPr>
          <w:rFonts w:ascii="Arial" w:eastAsia="Arial" w:hAnsi="Arial" w:cs="Arial"/>
          <w:strike/>
        </w:rPr>
        <w:t>or</w:t>
      </w:r>
    </w:p>
    <w:p w:rsidR="00B547D0" w:rsidP="00B547D0">
      <w:pPr>
        <w:ind w:left="360" w:firstLine="360"/>
        <w:rPr>
          <w:rFonts w:ascii="Arial" w:eastAsia="Arial" w:hAnsi="Arial" w:cs="Arial"/>
        </w:rPr>
      </w:pPr>
      <w:bookmarkStart w:id="25" w:name="_PAR__6_b97425e9_fb46_411a_8014_58025917"/>
      <w:bookmarkEnd w:id="24"/>
      <w:r>
        <w:rPr>
          <w:rFonts w:ascii="Arial" w:eastAsia="Arial" w:hAnsi="Arial" w:cs="Arial"/>
          <w:b/>
          <w:sz w:val="24"/>
        </w:rPr>
        <w:t>Sec. A-6.  36 MRSA §5122, sub-§2, ¶M-3,</w:t>
      </w:r>
      <w:r>
        <w:rPr>
          <w:rFonts w:ascii="Arial" w:eastAsia="Arial" w:hAnsi="Arial" w:cs="Arial"/>
        </w:rPr>
        <w:t xml:space="preserve"> as corrected by RR 2025, c. 1, Pt. A, §55, is amended by repealing subparagraph (4).'</w:t>
      </w:r>
    </w:p>
    <w:p w:rsidR="00B547D0" w:rsidP="00B547D0">
      <w:pPr>
        <w:ind w:left="360" w:firstLine="360"/>
        <w:rPr>
          <w:rFonts w:ascii="Arial" w:eastAsia="Arial" w:hAnsi="Arial" w:cs="Arial"/>
        </w:rPr>
      </w:pPr>
      <w:bookmarkStart w:id="26" w:name="_INSTRUCTION__43cbf45f_9ca9_4e22_a5cd_79"/>
      <w:bookmarkStart w:id="27" w:name="_PAR__7_5e0d6f53_3147_4d74_b300_84f7bcf0"/>
      <w:bookmarkEnd w:id="19"/>
      <w:bookmarkEnd w:id="25"/>
      <w:r>
        <w:rPr>
          <w:rFonts w:ascii="Arial" w:eastAsia="Arial" w:hAnsi="Arial" w:cs="Arial"/>
        </w:rPr>
        <w:t>Amend the bill in Part B by inserting before section 1 the following:</w:t>
      </w:r>
    </w:p>
    <w:p w:rsidR="00B547D0" w:rsidP="00B547D0">
      <w:pPr>
        <w:ind w:left="360" w:firstLine="360"/>
        <w:rPr>
          <w:rFonts w:ascii="Arial" w:eastAsia="Arial" w:hAnsi="Arial" w:cs="Arial"/>
        </w:rPr>
      </w:pPr>
      <w:bookmarkStart w:id="28" w:name="_PAR__8_ea53afed_2804_476e_ae1c_c7c4e7b8"/>
      <w:bookmarkEnd w:id="27"/>
      <w:r>
        <w:rPr>
          <w:rFonts w:ascii="Arial" w:eastAsia="Arial" w:hAnsi="Arial" w:cs="Arial"/>
        </w:rPr>
        <w:t>'</w:t>
      </w:r>
      <w:r>
        <w:rPr>
          <w:rFonts w:ascii="Arial" w:eastAsia="Arial" w:hAnsi="Arial" w:cs="Arial"/>
          <w:b/>
          <w:sz w:val="24"/>
        </w:rPr>
        <w:t>Sec. B-1.  36 MRSA §1752, sub-§6-K,</w:t>
      </w:r>
      <w:r>
        <w:rPr>
          <w:rFonts w:ascii="Arial" w:eastAsia="Arial" w:hAnsi="Arial" w:cs="Arial"/>
        </w:rPr>
        <w:t xml:space="preserve"> as enacted by PL 2025, c. 388, Pt. G, §22 and affected by §48, is amended by amending the first blocked paragraph to read:</w:t>
      </w:r>
    </w:p>
    <w:p w:rsidR="00B547D0" w:rsidP="00B547D0">
      <w:pPr>
        <w:ind w:left="360"/>
        <w:rPr>
          <w:rFonts w:ascii="Arial" w:eastAsia="Arial" w:hAnsi="Arial" w:cs="Arial"/>
        </w:rPr>
      </w:pPr>
      <w:bookmarkStart w:id="29" w:name="_PAR__9_8bce493e_1be4_44e8_b7b7_11f6f9c8"/>
      <w:bookmarkEnd w:id="28"/>
      <w:r>
        <w:rPr>
          <w:rFonts w:ascii="Arial" w:eastAsia="Arial" w:hAnsi="Arial" w:cs="Arial"/>
        </w:rPr>
        <w:t xml:space="preserve">"Mobility-enhancing equipment" does not include durable medical equipment. </w:t>
      </w:r>
      <w:r>
        <w:rPr>
          <w:rFonts w:ascii="Arial" w:eastAsia="Arial" w:hAnsi="Arial" w:cs="Arial"/>
          <w:u w:val="single"/>
        </w:rPr>
        <w:t>"Mobility-enhancing equipment" includes crutches and wheelchairs.</w:t>
      </w:r>
      <w:r>
        <w:rPr>
          <w:rFonts w:ascii="Arial" w:eastAsia="Arial" w:hAnsi="Arial" w:cs="Arial"/>
        </w:rPr>
        <w:t>'</w:t>
      </w:r>
    </w:p>
    <w:p w:rsidR="00B547D0" w:rsidP="00B547D0">
      <w:pPr>
        <w:ind w:left="360" w:firstLine="360"/>
        <w:rPr>
          <w:rFonts w:ascii="Arial" w:eastAsia="Arial" w:hAnsi="Arial" w:cs="Arial"/>
        </w:rPr>
      </w:pPr>
      <w:bookmarkStart w:id="30" w:name="_INSTRUCTION__a51caefa_b144_4d55_b3e4_77"/>
      <w:bookmarkStart w:id="31" w:name="_PAR__10_63eb2e99_2956_468d_acce_39efe20"/>
      <w:bookmarkEnd w:id="26"/>
      <w:bookmarkEnd w:id="29"/>
      <w:r>
        <w:rPr>
          <w:rFonts w:ascii="Arial" w:eastAsia="Arial" w:hAnsi="Arial" w:cs="Arial"/>
        </w:rPr>
        <w:t>Amend the bill in Part C in section 2 in the indented paragraph in the 3rd line (page 4, line 40 in L.D.) by striking out the following: "due" and inserting the following: '</w:t>
      </w:r>
      <w:r>
        <w:rPr>
          <w:rFonts w:ascii="Arial" w:eastAsia="Arial" w:hAnsi="Arial" w:cs="Arial"/>
          <w:strike/>
        </w:rPr>
        <w:t>due</w:t>
      </w:r>
      <w:r>
        <w:rPr>
          <w:rFonts w:ascii="Arial" w:eastAsia="Arial" w:hAnsi="Arial" w:cs="Arial"/>
        </w:rPr>
        <w:t xml:space="preserve"> </w:t>
      </w:r>
      <w:r>
        <w:rPr>
          <w:rFonts w:ascii="Arial" w:eastAsia="Arial" w:hAnsi="Arial" w:cs="Arial"/>
          <w:u w:val="single"/>
        </w:rPr>
        <w:t>assessed for the tax year subject to the lien pursuant to a written property tax proration agreement</w:t>
      </w:r>
      <w:r>
        <w:rPr>
          <w:rFonts w:ascii="Arial" w:eastAsia="Arial" w:hAnsi="Arial" w:cs="Arial"/>
        </w:rPr>
        <w:t>'</w:t>
      </w:r>
    </w:p>
    <w:p w:rsidR="00B547D0" w:rsidP="00B547D0">
      <w:pPr>
        <w:ind w:left="360" w:firstLine="360"/>
        <w:rPr>
          <w:rFonts w:ascii="Arial" w:eastAsia="Arial" w:hAnsi="Arial" w:cs="Arial"/>
        </w:rPr>
      </w:pPr>
      <w:bookmarkStart w:id="32" w:name="_INSTRUCTION__32728b39_0244_450d_bf01_2c"/>
      <w:bookmarkStart w:id="33" w:name="_PAR__11_53326fe8_6b90_4bb1_8a22_793ca9e"/>
      <w:bookmarkEnd w:id="30"/>
      <w:bookmarkEnd w:id="31"/>
      <w:r>
        <w:rPr>
          <w:rFonts w:ascii="Arial" w:eastAsia="Arial" w:hAnsi="Arial" w:cs="Arial"/>
        </w:rPr>
        <w:t>Amend the bill in Part C in section 2 in the indented paragraph in the last line (page 5, line 11 in L.D.) by inserting after the following: "</w:t>
      </w:r>
      <w:r>
        <w:rPr>
          <w:rFonts w:ascii="Arial" w:eastAsia="Arial" w:hAnsi="Arial" w:cs="Arial"/>
          <w:u w:val="single"/>
        </w:rPr>
        <w:t>paragraph</w:t>
      </w:r>
      <w:r>
        <w:rPr>
          <w:rFonts w:ascii="Arial" w:eastAsia="Arial" w:hAnsi="Arial" w:cs="Arial"/>
        </w:rPr>
        <w:t>." the following: '</w:t>
      </w:r>
      <w:r>
        <w:rPr>
          <w:rFonts w:ascii="Arial" w:eastAsia="Arial" w:hAnsi="Arial" w:cs="Arial"/>
          <w:u w:val="single"/>
        </w:rPr>
        <w:t>This section does not limit a municipality's remedies to collect unpaid real estate taxes through other means.</w:t>
      </w:r>
      <w:r>
        <w:rPr>
          <w:rFonts w:ascii="Arial" w:eastAsia="Arial" w:hAnsi="Arial" w:cs="Arial"/>
        </w:rPr>
        <w:t>'</w:t>
      </w:r>
    </w:p>
    <w:p w:rsidR="00B547D0" w:rsidP="00B547D0">
      <w:pPr>
        <w:ind w:left="360" w:firstLine="360"/>
        <w:rPr>
          <w:rFonts w:ascii="Arial" w:eastAsia="Arial" w:hAnsi="Arial" w:cs="Arial"/>
        </w:rPr>
      </w:pPr>
      <w:bookmarkStart w:id="34" w:name="_INSTRUCTION__03eb2c11_8cc5_4f6b_ac34_5c"/>
      <w:bookmarkStart w:id="35" w:name="_PAR__12_8b22d80e_095d_4d46_8a92_cacfa16"/>
      <w:bookmarkEnd w:id="32"/>
      <w:bookmarkEnd w:id="33"/>
      <w:r>
        <w:rPr>
          <w:rFonts w:ascii="Arial" w:eastAsia="Arial" w:hAnsi="Arial" w:cs="Arial"/>
        </w:rPr>
        <w:t>Amend the bill in Part D by striking out all of section 1.</w:t>
      </w:r>
    </w:p>
    <w:p w:rsidR="00B547D0" w:rsidP="00B547D0">
      <w:pPr>
        <w:ind w:left="360" w:firstLine="360"/>
        <w:rPr>
          <w:rFonts w:ascii="Arial" w:eastAsia="Arial" w:hAnsi="Arial" w:cs="Arial"/>
        </w:rPr>
      </w:pPr>
      <w:bookmarkStart w:id="36" w:name="_INSTRUCTION__50941d67_3d27_4731_93c3_f7"/>
      <w:bookmarkStart w:id="37" w:name="_PAR__13_ff306ce9_4214_4825_ba5e_102cb5f"/>
      <w:bookmarkEnd w:id="34"/>
      <w:bookmarkEnd w:id="35"/>
      <w:r>
        <w:rPr>
          <w:rFonts w:ascii="Arial" w:eastAsia="Arial" w:hAnsi="Arial" w:cs="Arial"/>
        </w:rPr>
        <w:t>Amend the bill in Part D by striking out all of section 5.</w:t>
      </w:r>
    </w:p>
    <w:p w:rsidR="00B547D0" w:rsidP="00B547D0">
      <w:pPr>
        <w:ind w:left="360" w:firstLine="360"/>
        <w:rPr>
          <w:rFonts w:ascii="Arial" w:eastAsia="Arial" w:hAnsi="Arial" w:cs="Arial"/>
        </w:rPr>
      </w:pPr>
      <w:bookmarkStart w:id="38" w:name="_INSTRUCTION__3f0bf98c_bf7e_48f3_aec3_ff"/>
      <w:bookmarkStart w:id="39" w:name="_PAR__14_9a27f2ea_4057_40a1_a535_d075586"/>
      <w:bookmarkEnd w:id="36"/>
      <w:bookmarkEnd w:id="37"/>
      <w:r>
        <w:rPr>
          <w:rFonts w:ascii="Arial" w:eastAsia="Arial" w:hAnsi="Arial" w:cs="Arial"/>
        </w:rPr>
        <w:t>Amend the bill by relettering or renumbering any nonconsecutive Part letter or section number to read consecutively.</w:t>
      </w:r>
    </w:p>
    <w:p w:rsidR="00B547D0" w:rsidP="00B547D0">
      <w:pPr>
        <w:keepNext/>
        <w:spacing w:before="240"/>
        <w:ind w:left="360"/>
        <w:jc w:val="center"/>
        <w:rPr>
          <w:rFonts w:ascii="Arial" w:eastAsia="Arial" w:hAnsi="Arial" w:cs="Arial"/>
        </w:rPr>
      </w:pPr>
      <w:bookmarkStart w:id="40" w:name="_SUMMARY__a3c97f64_77cf_4fbb_8b95_3d1047"/>
      <w:bookmarkStart w:id="41" w:name="_PAR__15_e4765669_c6a3_4fae_8b8e_acb79dd"/>
      <w:bookmarkEnd w:id="38"/>
      <w:bookmarkEnd w:id="39"/>
      <w:r>
        <w:rPr>
          <w:rFonts w:ascii="Arial" w:eastAsia="Arial" w:hAnsi="Arial" w:cs="Arial"/>
          <w:b/>
          <w:sz w:val="24"/>
        </w:rPr>
        <w:t>SUMMARY</w:t>
      </w:r>
    </w:p>
    <w:p w:rsidR="00B547D0" w:rsidP="00B547D0">
      <w:pPr>
        <w:ind w:left="360" w:firstLine="360"/>
        <w:rPr>
          <w:rFonts w:ascii="Arial" w:eastAsia="Arial" w:hAnsi="Arial" w:cs="Arial"/>
        </w:rPr>
      </w:pPr>
      <w:bookmarkStart w:id="42" w:name="_PAR__16_4da87e68_6e81_4177_91bd_3f632f4"/>
      <w:bookmarkEnd w:id="41"/>
      <w:r>
        <w:rPr>
          <w:rFonts w:ascii="Arial" w:eastAsia="Arial" w:hAnsi="Arial" w:cs="Arial"/>
        </w:rPr>
        <w:t>This amendment makes the following changes to the bill:</w:t>
      </w:r>
    </w:p>
    <w:p w:rsidR="00B547D0" w:rsidP="00B547D0">
      <w:pPr>
        <w:ind w:left="360" w:firstLine="360"/>
        <w:rPr>
          <w:rFonts w:ascii="Arial" w:eastAsia="Arial" w:hAnsi="Arial" w:cs="Arial"/>
        </w:rPr>
      </w:pPr>
      <w:bookmarkStart w:id="43" w:name="_PAR__17_0fc8e9dc_0435_4c9a_8792_59ad859"/>
      <w:bookmarkEnd w:id="42"/>
      <w:r>
        <w:rPr>
          <w:rFonts w:ascii="Arial" w:eastAsia="Arial" w:hAnsi="Arial" w:cs="Arial"/>
        </w:rPr>
        <w:t>1. It amends the definition of "notice" to increase from 3 to 7 the number of days after which a notice by first-class mail is deemed to be received;</w:t>
      </w:r>
    </w:p>
    <w:p w:rsidR="00B547D0" w:rsidP="00B547D0">
      <w:pPr>
        <w:ind w:left="360" w:firstLine="360"/>
        <w:rPr>
          <w:rFonts w:ascii="Arial" w:eastAsia="Arial" w:hAnsi="Arial" w:cs="Arial"/>
        </w:rPr>
      </w:pPr>
      <w:bookmarkStart w:id="44" w:name="_PAR__18_204cdadd_40d8_40d7_9980_47398e4"/>
      <w:bookmarkEnd w:id="43"/>
      <w:r>
        <w:rPr>
          <w:rFonts w:ascii="Arial" w:eastAsia="Arial" w:hAnsi="Arial" w:cs="Arial"/>
        </w:rPr>
        <w:t>2. It removes the changes proposed to the computation of taxable income of resident individuals for the purposes of reductions to federal adjusted gross income;</w:t>
      </w:r>
    </w:p>
    <w:p w:rsidR="00B547D0" w:rsidP="00B547D0">
      <w:pPr>
        <w:ind w:left="360" w:firstLine="360"/>
        <w:rPr>
          <w:rFonts w:ascii="Arial" w:eastAsia="Arial" w:hAnsi="Arial" w:cs="Arial"/>
        </w:rPr>
      </w:pPr>
      <w:bookmarkStart w:id="45" w:name="_PAR__19_3fb6d494_7e07_47d6_99a9_48dce6b"/>
      <w:bookmarkEnd w:id="44"/>
      <w:r>
        <w:rPr>
          <w:rFonts w:ascii="Arial" w:eastAsia="Arial" w:hAnsi="Arial" w:cs="Arial"/>
        </w:rPr>
        <w:t xml:space="preserve">3. It includes crutches and wheelchairs in the definition of "mobility-enhancing equipment" to ensure that they are exempt from sales tax under the Maine Revised Statutes, Title 36, section 1760, subsection 117; </w:t>
      </w:r>
    </w:p>
    <w:p w:rsidR="00B547D0" w:rsidP="00B547D0">
      <w:pPr>
        <w:ind w:left="360" w:firstLine="360"/>
        <w:rPr>
          <w:rFonts w:ascii="Arial" w:eastAsia="Arial" w:hAnsi="Arial" w:cs="Arial"/>
        </w:rPr>
      </w:pPr>
      <w:bookmarkStart w:id="46" w:name="_PAR__20_6221860a_41c4_4f20_b18a_61f4c35"/>
      <w:bookmarkEnd w:id="45"/>
      <w:r>
        <w:rPr>
          <w:rFonts w:ascii="Arial" w:eastAsia="Arial" w:hAnsi="Arial" w:cs="Arial"/>
        </w:rPr>
        <w:t xml:space="preserve">4. It updates provisions regarding the procedure for documenting that a seller of real property has paid the seller's pro rata share of taxes owed on property that is still the subject of a lien reflecting taxes due from someone else, adds language regarding proof of payment </w:t>
      </w:r>
      <w:bookmarkStart w:id="47" w:name="_PAGE_SPLIT__59d4523b_c690_40c6_bfdb_3ae"/>
      <w:bookmarkStart w:id="48" w:name="_PAGE__3_8c9582ff_e63a_4d0f_8c64_4f1652f"/>
      <w:bookmarkStart w:id="49" w:name="_PAR__2_b137f550_9f32_4cf7_ae38_2256705d"/>
      <w:bookmarkEnd w:id="20"/>
      <w:bookmarkEnd w:id="46"/>
      <w:r>
        <w:rPr>
          <w:rFonts w:ascii="Arial" w:eastAsia="Arial" w:hAnsi="Arial" w:cs="Arial"/>
        </w:rPr>
        <w:t>p</w:t>
      </w:r>
      <w:bookmarkEnd w:id="47"/>
      <w:r>
        <w:rPr>
          <w:rFonts w:ascii="Arial" w:eastAsia="Arial" w:hAnsi="Arial" w:cs="Arial"/>
        </w:rPr>
        <w:t>ursuant to a written property tax proration agreement and clarifies that a municipality may collect unpaid real estate taxes through means not specified in the bill; and</w:t>
      </w:r>
    </w:p>
    <w:p w:rsidR="00000000" w:rsidP="00B547D0">
      <w:pPr>
        <w:ind w:left="360" w:firstLine="360"/>
        <w:rPr>
          <w:rFonts w:ascii="Arial" w:eastAsia="Arial" w:hAnsi="Arial" w:cs="Arial"/>
        </w:rPr>
      </w:pPr>
      <w:bookmarkStart w:id="50" w:name="_PAR__3_3a0e4059_da61_4df8_b314_2c7e7e5c"/>
      <w:bookmarkEnd w:id="49"/>
      <w:r>
        <w:rPr>
          <w:rFonts w:ascii="Arial" w:eastAsia="Arial" w:hAnsi="Arial" w:cs="Arial"/>
        </w:rPr>
        <w:t>5. It removes sections of the bill that changed the taxpayer advocate and experience officer's annual reporting requirement start date from January 15, 2026 to January 15, 2027 and applied that change retroactively to January 1, 2026, in their entirety.</w:t>
      </w:r>
      <w:bookmarkEnd w:id="40"/>
      <w:bookmarkEnd w:id="48"/>
      <w:bookmarkEnd w:id="5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LR2671,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Certain State Tax Laws</w:t>
    </w:r>
  </w:p>
  <w:p>
    <w:pPr>
      <w:suppressLineNumbers/>
      <w:spacing w:before="0" w:after="0"/>
      <w:jc w:val="center"/>
      <w:rPr>
        <w:rFonts w:ascii="Arial" w:eastAsia="Arial" w:hAnsi="Arial" w:cs="Arial"/>
      </w:rPr>
    </w:pPr>
    <w:r>
      <w:rPr>
        <w:rFonts w:ascii="Arial" w:eastAsia="Arial" w:hAnsi="Arial" w:cs="Arial"/>
        <w:sz w:val="22"/>
      </w:rPr>
      <w:t>L.D. 2188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547D0"/>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