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Correct Inconsistencies, Conflicts and Errors in the Laws of Maine</w:t>
      </w:r>
    </w:p>
    <w:p w:rsidR="00AD0528" w:rsidP="00AD0528">
      <w:pPr>
        <w:spacing w:after="240"/>
        <w:ind w:left="360"/>
        <w:jc w:val="right"/>
        <w:rPr>
          <w:rFonts w:ascii="Arial" w:eastAsia="Arial" w:hAnsi="Arial" w:cs="Arial"/>
          <w:caps/>
        </w:rPr>
      </w:pPr>
      <w:bookmarkStart w:id="0" w:name="_AMEND_TITLE__dac76549_5ef8_4d62_9885_c7"/>
      <w:bookmarkStart w:id="1" w:name="_PAGE__1_667ab986_dfff_4d61_a3f3_c4705ad"/>
      <w:bookmarkStart w:id="2" w:name="_PAR__2_9d1229e5_94bd_4954_b2c7_79cd11da"/>
      <w:r>
        <w:rPr>
          <w:rFonts w:ascii="Arial" w:eastAsia="Arial" w:hAnsi="Arial" w:cs="Arial"/>
          <w:caps/>
        </w:rPr>
        <w:t>L.D. 2170</w:t>
      </w:r>
    </w:p>
    <w:p w:rsidR="00AD0528" w:rsidP="00AD0528">
      <w:pPr>
        <w:tabs>
          <w:tab w:val="right" w:pos="8928"/>
        </w:tabs>
        <w:spacing w:after="360"/>
        <w:ind w:left="360"/>
        <w:rPr>
          <w:rFonts w:ascii="Arial" w:eastAsia="Arial" w:hAnsi="Arial" w:cs="Arial"/>
        </w:rPr>
      </w:pPr>
      <w:bookmarkStart w:id="3" w:name="_PAR__3_567cc54c_1e5c_4876_948b_d1caa7a6"/>
      <w:bookmarkEnd w:id="2"/>
      <w:r>
        <w:rPr>
          <w:rFonts w:ascii="Arial" w:eastAsia="Arial" w:hAnsi="Arial" w:cs="Arial"/>
        </w:rPr>
        <w:t>Date:</w:t>
      </w:r>
      <w:r>
        <w:rPr>
          <w:rFonts w:ascii="Arial" w:eastAsia="Arial" w:hAnsi="Arial" w:cs="Arial"/>
        </w:rPr>
        <w:tab/>
        <w:t>(Filing No. H-         )</w:t>
      </w:r>
    </w:p>
    <w:p w:rsidR="00AD0528" w:rsidP="00AD0528">
      <w:pPr>
        <w:spacing w:before="600" w:after="300"/>
        <w:ind w:left="360"/>
        <w:jc w:val="center"/>
        <w:outlineLvl w:val="0"/>
        <w:rPr>
          <w:rFonts w:ascii="Arial" w:eastAsia="Arial" w:hAnsi="Arial" w:cs="Arial"/>
        </w:rPr>
      </w:pPr>
      <w:bookmarkStart w:id="4" w:name="_PAR__4_e2483432_b536_4b49_bed8_ec21a788"/>
      <w:bookmarkEnd w:id="3"/>
      <w:r>
        <w:rPr>
          <w:rFonts w:ascii="Arial" w:eastAsia="Arial" w:hAnsi="Arial" w:cs="Arial"/>
          <w:b/>
          <w:caps/>
          <w:sz w:val="24"/>
          <w:szCs w:val="32"/>
        </w:rPr>
        <w:t xml:space="preserve">Judiciary </w:t>
      </w:r>
    </w:p>
    <w:p w:rsidR="00AD0528" w:rsidP="00AD0528">
      <w:pPr>
        <w:spacing w:before="60" w:after="60"/>
        <w:ind w:left="720"/>
        <w:rPr>
          <w:rFonts w:ascii="Arial" w:eastAsia="Arial" w:hAnsi="Arial" w:cs="Arial"/>
        </w:rPr>
      </w:pPr>
      <w:bookmarkStart w:id="5" w:name="_PAR__5_41ff077c_6807_4b79_b64f_54fbd3e0"/>
      <w:bookmarkEnd w:id="4"/>
      <w:r>
        <w:rPr>
          <w:rFonts w:ascii="Arial" w:eastAsia="Arial" w:hAnsi="Arial" w:cs="Arial"/>
        </w:rPr>
        <w:t>Reproduced and distributed under the direction of the Clerk of the House.</w:t>
      </w:r>
    </w:p>
    <w:p w:rsidR="00AD0528" w:rsidP="00AD0528">
      <w:pPr>
        <w:spacing w:before="160" w:after="0"/>
        <w:ind w:left="360"/>
        <w:jc w:val="center"/>
        <w:outlineLvl w:val="0"/>
        <w:rPr>
          <w:rFonts w:ascii="Arial" w:eastAsia="Arial" w:hAnsi="Arial" w:cs="Arial"/>
          <w:b/>
          <w:caps/>
          <w:sz w:val="24"/>
          <w:szCs w:val="32"/>
        </w:rPr>
      </w:pPr>
      <w:bookmarkStart w:id="6" w:name="_PAR__6_8ca4cbba_6219_426d_ba6c_e70a370e"/>
      <w:bookmarkEnd w:id="5"/>
      <w:r>
        <w:rPr>
          <w:rFonts w:ascii="Arial" w:eastAsia="Arial" w:hAnsi="Arial" w:cs="Arial"/>
          <w:b/>
          <w:caps/>
          <w:sz w:val="24"/>
          <w:szCs w:val="32"/>
        </w:rPr>
        <w:t>STATE OF MAINE</w:t>
      </w:r>
    </w:p>
    <w:p w:rsidR="00AD0528" w:rsidP="00AD0528">
      <w:pPr>
        <w:spacing w:after="0"/>
        <w:ind w:left="360"/>
        <w:jc w:val="center"/>
        <w:outlineLvl w:val="0"/>
        <w:rPr>
          <w:rFonts w:ascii="Arial" w:eastAsia="Arial" w:hAnsi="Arial" w:cs="Arial"/>
          <w:b/>
          <w:caps/>
          <w:sz w:val="24"/>
          <w:szCs w:val="32"/>
        </w:rPr>
      </w:pPr>
      <w:bookmarkStart w:id="7" w:name="_PAR__7_819fe27f_69b8_4f93_9b53_2f1f092d"/>
      <w:bookmarkEnd w:id="6"/>
      <w:r>
        <w:rPr>
          <w:rFonts w:ascii="Arial" w:eastAsia="Arial" w:hAnsi="Arial" w:cs="Arial"/>
          <w:b/>
          <w:caps/>
          <w:sz w:val="24"/>
          <w:szCs w:val="32"/>
        </w:rPr>
        <w:t>HOUSE OF REPRESENTATIVES</w:t>
      </w:r>
    </w:p>
    <w:p w:rsidR="00AD0528" w:rsidP="00AD0528">
      <w:pPr>
        <w:spacing w:after="0"/>
        <w:ind w:left="360"/>
        <w:jc w:val="center"/>
        <w:outlineLvl w:val="0"/>
        <w:rPr>
          <w:rFonts w:ascii="Arial" w:eastAsia="Arial" w:hAnsi="Arial" w:cs="Arial"/>
          <w:b/>
          <w:caps/>
          <w:sz w:val="24"/>
          <w:szCs w:val="32"/>
        </w:rPr>
      </w:pPr>
      <w:bookmarkStart w:id="8" w:name="_PAR__8_dcdd3961_0d1c_4fa1_bdc7_fed16c2a"/>
      <w:bookmarkEnd w:id="7"/>
      <w:r>
        <w:rPr>
          <w:rFonts w:ascii="Arial" w:eastAsia="Arial" w:hAnsi="Arial" w:cs="Arial"/>
          <w:b/>
          <w:caps/>
          <w:sz w:val="24"/>
          <w:szCs w:val="32"/>
        </w:rPr>
        <w:t>132nd Legislature</w:t>
      </w:r>
    </w:p>
    <w:p w:rsidR="00AD0528" w:rsidP="00AD0528">
      <w:pPr>
        <w:spacing w:after="0"/>
        <w:ind w:left="360"/>
        <w:jc w:val="center"/>
        <w:outlineLvl w:val="0"/>
        <w:rPr>
          <w:rFonts w:ascii="Arial" w:eastAsia="Arial" w:hAnsi="Arial" w:cs="Arial"/>
          <w:b/>
          <w:caps/>
          <w:sz w:val="24"/>
          <w:szCs w:val="32"/>
        </w:rPr>
      </w:pPr>
      <w:bookmarkStart w:id="9" w:name="_PAR__9_3c4e21e1_8207_4a34_ae62_b45b95dd"/>
      <w:bookmarkEnd w:id="8"/>
      <w:r>
        <w:rPr>
          <w:rFonts w:ascii="Arial" w:eastAsia="Arial" w:hAnsi="Arial" w:cs="Arial"/>
          <w:b/>
          <w:caps/>
          <w:sz w:val="24"/>
          <w:szCs w:val="32"/>
        </w:rPr>
        <w:t>Second Regular Session</w:t>
      </w:r>
    </w:p>
    <w:p w:rsidR="00AD0528" w:rsidP="00AD0528">
      <w:pPr>
        <w:spacing w:before="400" w:after="200"/>
        <w:ind w:left="360" w:firstLine="360"/>
        <w:rPr>
          <w:rFonts w:ascii="Arial" w:eastAsia="Arial" w:hAnsi="Arial" w:cs="Arial"/>
        </w:rPr>
      </w:pPr>
      <w:bookmarkStart w:id="10" w:name="_PAR__10_031c7d38_695e_454f_a1d5_690d482"/>
      <w:bookmarkEnd w:id="9"/>
      <w:r>
        <w:rPr>
          <w:rFonts w:ascii="Arial" w:eastAsia="Arial" w:hAnsi="Arial" w:cs="Arial"/>
          <w:szCs w:val="22"/>
        </w:rPr>
        <w:t>COMMITTEE AMENDMENT “      ” to H.P. 1458, L.D. 2170, “An Act to Correct Inconsistencies, Conflicts and Errors in the Laws of Maine”</w:t>
      </w:r>
    </w:p>
    <w:p w:rsidR="00AD0528" w:rsidP="00AD0528">
      <w:pPr>
        <w:ind w:left="360" w:firstLine="360"/>
        <w:rPr>
          <w:rFonts w:ascii="Arial" w:eastAsia="Arial" w:hAnsi="Arial" w:cs="Arial"/>
        </w:rPr>
      </w:pPr>
      <w:bookmarkStart w:id="11" w:name="_INSTRUCTION__6f0ae803_7dc6_49c9_aefa_8f"/>
      <w:bookmarkStart w:id="12" w:name="_PAR__11_e91aaf57_a6c6_42e2_913c_9c248a4"/>
      <w:bookmarkEnd w:id="0"/>
      <w:bookmarkEnd w:id="10"/>
      <w:r>
        <w:rPr>
          <w:rFonts w:ascii="Arial" w:eastAsia="Arial" w:hAnsi="Arial" w:cs="Arial"/>
        </w:rPr>
        <w:t>Amend the bill in Part A in section 3 in subsection 7 in the 10th line (page 2, line 3 in L.D.) by inserting after the following: "</w:t>
      </w:r>
      <w:r>
        <w:rPr>
          <w:rFonts w:ascii="Arial" w:eastAsia="Arial" w:hAnsi="Arial" w:cs="Arial"/>
          <w:u w:val="single"/>
        </w:rPr>
        <w:t>952</w:t>
      </w:r>
      <w:r>
        <w:rPr>
          <w:rFonts w:ascii="Arial" w:eastAsia="Arial" w:hAnsi="Arial" w:cs="Arial"/>
        </w:rPr>
        <w:t>" the following: '</w:t>
      </w:r>
      <w:r>
        <w:rPr>
          <w:rFonts w:ascii="Arial" w:eastAsia="Arial" w:hAnsi="Arial" w:cs="Arial"/>
          <w:u w:val="single"/>
        </w:rPr>
        <w:t>and sections 958 to 960</w:t>
      </w:r>
      <w:r>
        <w:rPr>
          <w:rFonts w:ascii="Arial" w:eastAsia="Arial" w:hAnsi="Arial" w:cs="Arial"/>
        </w:rPr>
        <w:t>'</w:t>
      </w:r>
    </w:p>
    <w:p w:rsidR="00AD0528" w:rsidP="00AD0528">
      <w:pPr>
        <w:ind w:left="360" w:firstLine="360"/>
        <w:rPr>
          <w:rFonts w:ascii="Arial" w:eastAsia="Arial" w:hAnsi="Arial" w:cs="Arial"/>
        </w:rPr>
      </w:pPr>
      <w:bookmarkStart w:id="13" w:name="_INSTRUCTION__6dcc5866_6944_4bf9_bc23_b1"/>
      <w:bookmarkStart w:id="14" w:name="_PAR__12_716c3a55_e6e9_4955_9da5_0478739"/>
      <w:bookmarkEnd w:id="11"/>
      <w:bookmarkEnd w:id="12"/>
      <w:r>
        <w:rPr>
          <w:rFonts w:ascii="Arial" w:eastAsia="Arial" w:hAnsi="Arial" w:cs="Arial"/>
        </w:rPr>
        <w:t>Amend the bill in Part A in section 4 in subsection 2 in the 4th line (page 2, line 20 in L.D.) by inserting after the following: "</w:t>
      </w:r>
      <w:r>
        <w:rPr>
          <w:rFonts w:ascii="Arial" w:eastAsia="Arial" w:hAnsi="Arial" w:cs="Arial"/>
          <w:u w:val="single"/>
        </w:rPr>
        <w:t>952</w:t>
      </w:r>
      <w:r>
        <w:rPr>
          <w:rFonts w:ascii="Arial" w:eastAsia="Arial" w:hAnsi="Arial" w:cs="Arial"/>
        </w:rPr>
        <w:t>" the following: '</w:t>
      </w:r>
      <w:r>
        <w:rPr>
          <w:rFonts w:ascii="Arial" w:eastAsia="Arial" w:hAnsi="Arial" w:cs="Arial"/>
          <w:u w:val="single"/>
        </w:rPr>
        <w:t>and sections 958 to 960</w:t>
      </w:r>
      <w:r>
        <w:rPr>
          <w:rFonts w:ascii="Arial" w:eastAsia="Arial" w:hAnsi="Arial" w:cs="Arial"/>
        </w:rPr>
        <w:t>'</w:t>
      </w:r>
    </w:p>
    <w:p w:rsidR="00AD0528" w:rsidP="00AD0528">
      <w:pPr>
        <w:ind w:left="360" w:firstLine="360"/>
        <w:rPr>
          <w:rFonts w:ascii="Arial" w:eastAsia="Arial" w:hAnsi="Arial" w:cs="Arial"/>
        </w:rPr>
      </w:pPr>
      <w:bookmarkStart w:id="15" w:name="_INSTRUCTION__2a59a14f_8a54_4f41_9440_8a"/>
      <w:bookmarkStart w:id="16" w:name="_PAR__13_4d4ae0ed_e77e_4383_9352_46ebfb9"/>
      <w:bookmarkEnd w:id="13"/>
      <w:bookmarkEnd w:id="14"/>
      <w:r>
        <w:rPr>
          <w:rFonts w:ascii="Arial" w:eastAsia="Arial" w:hAnsi="Arial" w:cs="Arial"/>
        </w:rPr>
        <w:t>Amend the bill in Part A by striking out all of section 31.</w:t>
      </w:r>
    </w:p>
    <w:p w:rsidR="00AD0528" w:rsidP="00AD0528">
      <w:pPr>
        <w:ind w:left="360" w:firstLine="360"/>
        <w:rPr>
          <w:rFonts w:ascii="Arial" w:eastAsia="Arial" w:hAnsi="Arial" w:cs="Arial"/>
        </w:rPr>
      </w:pPr>
      <w:bookmarkStart w:id="17" w:name="_INSTRUCTION__845ec9de_8d0c_4ec7_864d_39"/>
      <w:bookmarkStart w:id="18" w:name="_PAR__14_e282ef45_2957_49d7_ba8d_a3d020b"/>
      <w:bookmarkEnd w:id="15"/>
      <w:bookmarkEnd w:id="16"/>
      <w:r>
        <w:rPr>
          <w:rFonts w:ascii="Arial" w:eastAsia="Arial" w:hAnsi="Arial" w:cs="Arial"/>
        </w:rPr>
        <w:t>Amend the bill in Part A by striking out all of section 38.</w:t>
      </w:r>
    </w:p>
    <w:p w:rsidR="00AD0528" w:rsidP="00AD0528">
      <w:pPr>
        <w:ind w:left="360" w:firstLine="360"/>
        <w:rPr>
          <w:rFonts w:ascii="Arial" w:eastAsia="Arial" w:hAnsi="Arial" w:cs="Arial"/>
        </w:rPr>
      </w:pPr>
      <w:bookmarkStart w:id="19" w:name="_INSTRUCTION__1a3cd12c_8358_4345_91a8_2c"/>
      <w:bookmarkStart w:id="20" w:name="_PAR__15_a64de588_e177_4d7d_a153_c98cd86"/>
      <w:bookmarkEnd w:id="17"/>
      <w:bookmarkEnd w:id="18"/>
      <w:r>
        <w:rPr>
          <w:rFonts w:ascii="Arial" w:eastAsia="Arial" w:hAnsi="Arial" w:cs="Arial"/>
        </w:rPr>
        <w:t>Amend the bill by inserting after Part A the following:</w:t>
      </w:r>
    </w:p>
    <w:p w:rsidR="00AD0528" w:rsidP="00AD0528">
      <w:pPr>
        <w:ind w:left="360"/>
        <w:jc w:val="center"/>
        <w:rPr>
          <w:rFonts w:ascii="Arial" w:eastAsia="Arial" w:hAnsi="Arial" w:cs="Arial"/>
        </w:rPr>
      </w:pPr>
      <w:bookmarkStart w:id="21" w:name="_PAR__16_8ed55443_dada_4a1c_91b7_1d6dcb7"/>
      <w:bookmarkEnd w:id="20"/>
      <w:r>
        <w:rPr>
          <w:rFonts w:ascii="Arial" w:eastAsia="Arial" w:hAnsi="Arial" w:cs="Arial"/>
        </w:rPr>
        <w:t>'</w:t>
      </w:r>
      <w:r>
        <w:rPr>
          <w:rFonts w:ascii="Arial" w:eastAsia="Arial" w:hAnsi="Arial" w:cs="Arial"/>
          <w:b/>
          <w:sz w:val="24"/>
        </w:rPr>
        <w:t>PART B</w:t>
      </w:r>
    </w:p>
    <w:p w:rsidR="00AD0528" w:rsidP="00AD0528">
      <w:pPr>
        <w:ind w:left="360" w:firstLine="360"/>
        <w:rPr>
          <w:rFonts w:ascii="Arial" w:eastAsia="Arial" w:hAnsi="Arial" w:cs="Arial"/>
        </w:rPr>
      </w:pPr>
      <w:bookmarkStart w:id="22" w:name="_PAR__17_50cda5fd_902b_4c68_9d91_e913989"/>
      <w:bookmarkEnd w:id="21"/>
      <w:r>
        <w:rPr>
          <w:rFonts w:ascii="Arial" w:eastAsia="Arial" w:hAnsi="Arial" w:cs="Arial"/>
          <w:b/>
          <w:sz w:val="24"/>
        </w:rPr>
        <w:t>Sec. B-1.  5 MRSA §3233, sub-§4, ¶C,</w:t>
      </w:r>
      <w:r>
        <w:rPr>
          <w:rFonts w:ascii="Arial" w:eastAsia="Arial" w:hAnsi="Arial" w:cs="Arial"/>
        </w:rPr>
        <w:t xml:space="preserve"> as enacted by PL 2025, c. 388, Pt. D, §12, is amended to read:</w:t>
      </w:r>
    </w:p>
    <w:p w:rsidR="00AD0528" w:rsidP="00AD0528">
      <w:pPr>
        <w:ind w:left="720"/>
        <w:rPr>
          <w:rFonts w:ascii="Arial" w:eastAsia="Arial" w:hAnsi="Arial" w:cs="Arial"/>
        </w:rPr>
      </w:pPr>
      <w:bookmarkStart w:id="23" w:name="_PAR__18_3f427d57_4dc3_4545_a161_0d12f67"/>
      <w:bookmarkEnd w:id="22"/>
      <w:r>
        <w:rPr>
          <w:rFonts w:ascii="Arial" w:eastAsia="Arial" w:hAnsi="Arial" w:cs="Arial"/>
        </w:rPr>
        <w:t xml:space="preserve">C.  Within </w:t>
      </w:r>
      <w:r>
        <w:rPr>
          <w:rFonts w:ascii="Arial" w:eastAsia="Arial" w:hAnsi="Arial" w:cs="Arial"/>
          <w:strike/>
        </w:rPr>
        <w:t>35</w:t>
      </w:r>
      <w:r>
        <w:rPr>
          <w:rFonts w:ascii="Arial" w:eastAsia="Arial" w:hAnsi="Arial" w:cs="Arial"/>
        </w:rPr>
        <w:t xml:space="preserve"> </w:t>
      </w:r>
      <w:r>
        <w:rPr>
          <w:rFonts w:ascii="Arial" w:eastAsia="Arial" w:hAnsi="Arial" w:cs="Arial"/>
          <w:u w:val="single"/>
        </w:rPr>
        <w:t>10</w:t>
      </w:r>
      <w:r>
        <w:rPr>
          <w:rFonts w:ascii="Arial" w:eastAsia="Arial" w:hAnsi="Arial" w:cs="Arial"/>
        </w:rPr>
        <w:t xml:space="preserve"> business days after receiving the comprehensive plan, notify the municipality or multimunicipal region if the plan is complete for purposes of review.  If the office notifies the municipality or multimunicipal region that the plan is not complete for purposes of review, the office shall indicate in its notice necessary additional data or information;</w:t>
      </w:r>
    </w:p>
    <w:p w:rsidR="00AD0528" w:rsidP="00AD0528">
      <w:pPr>
        <w:ind w:left="360" w:firstLine="360"/>
        <w:rPr>
          <w:rFonts w:ascii="Arial" w:eastAsia="Arial" w:hAnsi="Arial" w:cs="Arial"/>
        </w:rPr>
      </w:pPr>
      <w:bookmarkStart w:id="24" w:name="_PAR__19_8ecc5e00_a8b2_4aa8_9264_dbbbf5e"/>
      <w:bookmarkEnd w:id="23"/>
      <w:r>
        <w:rPr>
          <w:rFonts w:ascii="Arial" w:eastAsia="Arial" w:hAnsi="Arial" w:cs="Arial"/>
          <w:b/>
          <w:sz w:val="24"/>
        </w:rPr>
        <w:t>Sec. B-2.  5 MRSA §3233, sub-§4, ¶D,</w:t>
      </w:r>
      <w:r>
        <w:rPr>
          <w:rFonts w:ascii="Arial" w:eastAsia="Arial" w:hAnsi="Arial" w:cs="Arial"/>
        </w:rPr>
        <w:t xml:space="preserve"> as enacted by PL 2025, c. 388, Pt. D, §12, is amended to read:</w:t>
      </w:r>
    </w:p>
    <w:p w:rsidR="00AD0528" w:rsidP="00AD0528">
      <w:pPr>
        <w:ind w:left="720"/>
        <w:rPr>
          <w:rFonts w:ascii="Arial" w:eastAsia="Arial" w:hAnsi="Arial" w:cs="Arial"/>
        </w:rPr>
      </w:pPr>
      <w:bookmarkStart w:id="25" w:name="_PAR__20_caa324e1_e925_490d_a809_d715894"/>
      <w:bookmarkEnd w:id="24"/>
      <w:r>
        <w:rPr>
          <w:rFonts w:ascii="Arial" w:eastAsia="Arial" w:hAnsi="Arial" w:cs="Arial"/>
        </w:rPr>
        <w:t xml:space="preserve">D.  Within </w:t>
      </w:r>
      <w:r>
        <w:rPr>
          <w:rFonts w:ascii="Arial" w:eastAsia="Arial" w:hAnsi="Arial" w:cs="Arial"/>
          <w:strike/>
        </w:rPr>
        <w:t>10</w:t>
      </w:r>
      <w:r>
        <w:rPr>
          <w:rFonts w:ascii="Arial" w:eastAsia="Arial" w:hAnsi="Arial" w:cs="Arial"/>
        </w:rPr>
        <w:t xml:space="preserve"> </w:t>
      </w:r>
      <w:r>
        <w:rPr>
          <w:rFonts w:ascii="Arial" w:eastAsia="Arial" w:hAnsi="Arial" w:cs="Arial"/>
          <w:u w:val="single"/>
        </w:rPr>
        <w:t>35</w:t>
      </w:r>
      <w:r>
        <w:rPr>
          <w:rFonts w:ascii="Arial" w:eastAsia="Arial" w:hAnsi="Arial" w:cs="Arial"/>
        </w:rPr>
        <w:t xml:space="preserve"> business days of issuing notification that a comprehensive plan is complete for purposes of review, issue findings specifically describing whether the submitted plan is consistent with the procedures, goals and guidelines established in Title 30‑A, chapter 187, subchapter 2 and identify which inconsistencies in the plan, if any, may directly affect rate of growth, zoning or impact fee ordinances.</w:t>
      </w:r>
    </w:p>
    <w:p w:rsidR="00AD0528" w:rsidP="00AD0528">
      <w:pPr>
        <w:ind w:left="1080"/>
        <w:rPr>
          <w:rFonts w:ascii="Arial" w:eastAsia="Arial" w:hAnsi="Arial" w:cs="Arial"/>
        </w:rPr>
      </w:pPr>
      <w:bookmarkStart w:id="26" w:name="_PAGE__2_3af91165_89ba_44cf_bca7_577b157"/>
      <w:bookmarkStart w:id="27" w:name="_PAR__2_b831c307_475c_4152_819f_c6b2d761"/>
      <w:bookmarkEnd w:id="1"/>
      <w:bookmarkEnd w:id="25"/>
      <w:r>
        <w:rPr>
          <w:rFonts w:ascii="Arial" w:eastAsia="Arial" w:hAnsi="Arial" w:cs="Arial"/>
        </w:rPr>
        <w:t>(1)  In its findings, the office shall clearly indicate its position on any point on which there are significant conflicts among the written comments submitted to the office.</w:t>
      </w:r>
    </w:p>
    <w:p w:rsidR="00AD0528" w:rsidP="00AD0528">
      <w:pPr>
        <w:ind w:left="1080"/>
        <w:rPr>
          <w:rFonts w:ascii="Arial" w:eastAsia="Arial" w:hAnsi="Arial" w:cs="Arial"/>
        </w:rPr>
      </w:pPr>
      <w:bookmarkStart w:id="28" w:name="_PAR__3_f7593499_72af_4959_beca_4daa471b"/>
      <w:bookmarkEnd w:id="27"/>
      <w:r>
        <w:rPr>
          <w:rFonts w:ascii="Arial" w:eastAsia="Arial" w:hAnsi="Arial" w:cs="Arial"/>
        </w:rPr>
        <w:t>(2)  If the office finds that the comprehensive plan was developed in accordance with the procedures, goals and guidelines established in Title 30‑A, chapter 187, subchapter 2, the office shall issue a finding of consistency for the comprehensive plan.</w:t>
      </w:r>
    </w:p>
    <w:p w:rsidR="00AD0528" w:rsidP="00AD0528">
      <w:pPr>
        <w:ind w:left="1080"/>
        <w:rPr>
          <w:rFonts w:ascii="Arial" w:eastAsia="Arial" w:hAnsi="Arial" w:cs="Arial"/>
        </w:rPr>
      </w:pPr>
      <w:bookmarkStart w:id="29" w:name="_PAR__4_2a2545ae_1096_4ebf_8d68_28a95b8c"/>
      <w:bookmarkEnd w:id="28"/>
      <w:r>
        <w:rPr>
          <w:rFonts w:ascii="Arial" w:eastAsia="Arial" w:hAnsi="Arial" w:cs="Arial"/>
        </w:rPr>
        <w:t>(3)  A finding of inconsistency must identify the goals under Title 30‑A, chapter 187, subchapter 2 not adequately addressed, specific sections of the rules relating to comprehensive plan review adopted by the office not adequately addressed and recommendations for resolving the inconsistency;</w:t>
      </w:r>
    </w:p>
    <w:p w:rsidR="00AD0528" w:rsidP="00AD0528">
      <w:pPr>
        <w:ind w:left="360" w:firstLine="360"/>
        <w:rPr>
          <w:rFonts w:ascii="Arial" w:eastAsia="Arial" w:hAnsi="Arial" w:cs="Arial"/>
        </w:rPr>
      </w:pPr>
      <w:bookmarkStart w:id="30" w:name="_PAR__5_f820b5ca_edb9_41c3_9073_74709c49"/>
      <w:bookmarkEnd w:id="29"/>
      <w:r>
        <w:rPr>
          <w:rFonts w:ascii="Arial" w:eastAsia="Arial" w:hAnsi="Arial" w:cs="Arial"/>
          <w:b/>
          <w:sz w:val="24"/>
        </w:rPr>
        <w:t>Sec. B-3.  5 MRSA §3233, sub-§4, ¶F,</w:t>
      </w:r>
      <w:r>
        <w:rPr>
          <w:rFonts w:ascii="Arial" w:eastAsia="Arial" w:hAnsi="Arial" w:cs="Arial"/>
        </w:rPr>
        <w:t xml:space="preserve"> as enacted by PL 2025, c. 388, Pt. D, §12, is amended to read:</w:t>
      </w:r>
    </w:p>
    <w:p w:rsidR="00AD0528" w:rsidP="00AD0528">
      <w:pPr>
        <w:ind w:left="720"/>
        <w:rPr>
          <w:rFonts w:ascii="Arial" w:eastAsia="Arial" w:hAnsi="Arial" w:cs="Arial"/>
        </w:rPr>
      </w:pPr>
      <w:bookmarkStart w:id="31" w:name="_PAR__6_26759a03_c9bc_44e1_95cf_07ce96f3"/>
      <w:bookmarkEnd w:id="30"/>
      <w:r>
        <w:rPr>
          <w:rFonts w:ascii="Arial" w:eastAsia="Arial" w:hAnsi="Arial" w:cs="Arial"/>
        </w:rPr>
        <w:t xml:space="preserve">F.  Provide ample opportunity for the municipality or multimunicipal region submitting a comprehensive plan to respond to and </w:t>
      </w:r>
      <w:r>
        <w:rPr>
          <w:rFonts w:ascii="Arial" w:eastAsia="Arial" w:hAnsi="Arial" w:cs="Arial"/>
          <w:strike/>
        </w:rPr>
        <w:t>correct any identified deficiencies in the plan</w:t>
      </w:r>
      <w:r>
        <w:rPr>
          <w:rFonts w:ascii="Arial" w:eastAsia="Arial" w:hAnsi="Arial" w:cs="Arial"/>
        </w:rPr>
        <w:t xml:space="preserve"> </w:t>
      </w:r>
      <w:r>
        <w:rPr>
          <w:rFonts w:ascii="Arial" w:eastAsia="Arial" w:hAnsi="Arial" w:cs="Arial"/>
          <w:u w:val="single"/>
        </w:rPr>
        <w:t>revise the plan to be consistent with the procedures, goals and guidelines established in Title 30-A, chapter 187, subchapter 2</w:t>
      </w:r>
      <w:r>
        <w:rPr>
          <w:rFonts w:ascii="Arial" w:eastAsia="Arial" w:hAnsi="Arial" w:cs="Arial"/>
        </w:rPr>
        <w:t>.  A finding of inconsistency for a comprehensive plan may be addressed within 24 months of the date of the finding without addressing any new review standards that are created during that time interval. After 24 months, the plan must be resubmitted in its entirety for state review under the office's most current review standards.</w:t>
      </w:r>
    </w:p>
    <w:p w:rsidR="00AD0528" w:rsidP="00AD0528">
      <w:pPr>
        <w:ind w:left="360" w:firstLine="360"/>
        <w:rPr>
          <w:rFonts w:ascii="Arial" w:eastAsia="Arial" w:hAnsi="Arial" w:cs="Arial"/>
        </w:rPr>
      </w:pPr>
      <w:bookmarkStart w:id="32" w:name="_PAR__7_4a463654_c5ca_4b3d_8aa5_ba49a6f4"/>
      <w:bookmarkEnd w:id="31"/>
      <w:r>
        <w:rPr>
          <w:rFonts w:ascii="Arial" w:eastAsia="Arial" w:hAnsi="Arial" w:cs="Arial"/>
          <w:b/>
          <w:sz w:val="24"/>
        </w:rPr>
        <w:t>Sec. B-4.  5 MRSA §3233, sub-§4,</w:t>
      </w:r>
      <w:r>
        <w:rPr>
          <w:rFonts w:ascii="Arial" w:eastAsia="Arial" w:hAnsi="Arial" w:cs="Arial"/>
        </w:rPr>
        <w:t xml:space="preserve"> as enacted by PL 2025, c. 388, Pt. D, §12, is amended by amending the 3rd blocked paragraph to read:</w:t>
      </w:r>
    </w:p>
    <w:p w:rsidR="00AD0528" w:rsidP="00AD0528">
      <w:pPr>
        <w:ind w:left="360"/>
        <w:rPr>
          <w:rFonts w:ascii="Arial" w:eastAsia="Arial" w:hAnsi="Arial" w:cs="Arial"/>
        </w:rPr>
      </w:pPr>
      <w:bookmarkStart w:id="33" w:name="_PAR__8_5e21956c_d940_4a45_a1a6_8393f1ba"/>
      <w:bookmarkEnd w:id="32"/>
      <w:r>
        <w:rPr>
          <w:rFonts w:ascii="Arial" w:eastAsia="Arial" w:hAnsi="Arial" w:cs="Arial"/>
        </w:rPr>
        <w:t xml:space="preserve">A finding by the office pursuant to paragraph D that a comprehensive plan is consistent with the procedures, goals and guidelines established in Title 30‑A, chapter 187, subchapter 2 is valid for 12 years from the date of its issuance.  </w:t>
      </w:r>
      <w:r>
        <w:rPr>
          <w:rFonts w:ascii="Arial" w:eastAsia="Arial" w:hAnsi="Arial" w:cs="Arial"/>
          <w:u w:val="single"/>
        </w:rPr>
        <w:t>A finding by the Department of Agriculture, Conservation and Forestry issued after January 1, 2013 that a comprehensive plan is consistent with the procedures, goals and guidelines established in Title 30-A, chapter 187, subchapter 2 is valid until December 12, 2028 or 12 years after the date of consistency determined by the department, whichever is later.</w:t>
      </w:r>
      <w:r>
        <w:rPr>
          <w:rFonts w:ascii="Arial" w:eastAsia="Arial" w:hAnsi="Arial" w:cs="Arial"/>
        </w:rPr>
        <w:t xml:space="preserve">  For purposes of Title 30‑A, section 4314, subsection 3 and Title 30‑A, section 4352, subsection 2, expiration of a finding of consistency pursuant to this subsection does not itself make a comprehensive plan inconsistent with the procedures, goals and guidelines established in Title 30‑A, chapter 187, subchapter 2.</w:t>
      </w:r>
    </w:p>
    <w:p w:rsidR="00AD0528" w:rsidP="00AD0528">
      <w:pPr>
        <w:ind w:left="360"/>
        <w:jc w:val="center"/>
        <w:rPr>
          <w:rFonts w:ascii="Arial" w:eastAsia="Arial" w:hAnsi="Arial" w:cs="Arial"/>
        </w:rPr>
      </w:pPr>
      <w:bookmarkStart w:id="34" w:name="_PAR__9_264e586d_e404_4622_a15c_bf23c781"/>
      <w:bookmarkEnd w:id="33"/>
      <w:r>
        <w:rPr>
          <w:rFonts w:ascii="Arial" w:eastAsia="Arial" w:hAnsi="Arial" w:cs="Arial"/>
          <w:b/>
          <w:sz w:val="24"/>
        </w:rPr>
        <w:t>PART C</w:t>
      </w:r>
    </w:p>
    <w:p w:rsidR="00AD0528" w:rsidP="00AD0528">
      <w:pPr>
        <w:ind w:left="360" w:firstLine="360"/>
        <w:rPr>
          <w:rFonts w:ascii="Arial" w:eastAsia="Arial" w:hAnsi="Arial" w:cs="Arial"/>
        </w:rPr>
      </w:pPr>
      <w:bookmarkStart w:id="35" w:name="_PAR__10_89a697a4_3c1e_4705_b1ee_6765306"/>
      <w:bookmarkEnd w:id="34"/>
      <w:r>
        <w:rPr>
          <w:rFonts w:ascii="Arial" w:eastAsia="Arial" w:hAnsi="Arial" w:cs="Arial"/>
          <w:b/>
          <w:sz w:val="24"/>
        </w:rPr>
        <w:t>Sec. C-1.  5 MRSA §4763,</w:t>
      </w:r>
      <w:r>
        <w:rPr>
          <w:rFonts w:ascii="Arial" w:eastAsia="Arial" w:hAnsi="Arial" w:cs="Arial"/>
        </w:rPr>
        <w:t xml:space="preserve"> as enacted by PL 2025, c. 517, §1, is amended by amending the section headnote to read:</w:t>
      </w:r>
    </w:p>
    <w:p w:rsidR="00AD0528" w:rsidP="00AD0528">
      <w:pPr>
        <w:ind w:left="1080" w:hanging="720"/>
        <w:rPr>
          <w:rFonts w:ascii="Arial" w:eastAsia="Arial" w:hAnsi="Arial" w:cs="Arial"/>
        </w:rPr>
      </w:pPr>
      <w:bookmarkStart w:id="36" w:name="_PAR__11_b29b7fe3_3a6c_4b91_ad75_6a056b2"/>
      <w:bookmarkEnd w:id="35"/>
      <w:r>
        <w:rPr>
          <w:rFonts w:ascii="Arial" w:eastAsia="Arial" w:hAnsi="Arial" w:cs="Arial"/>
          <w:b/>
        </w:rPr>
        <w:t xml:space="preserve">§4763.  </w:t>
      </w:r>
      <w:r>
        <w:rPr>
          <w:rFonts w:ascii="Arial" w:eastAsia="Arial" w:hAnsi="Arial" w:cs="Arial"/>
          <w:b/>
          <w:strike/>
        </w:rPr>
        <w:t>Prohibited</w:t>
      </w:r>
      <w:r>
        <w:rPr>
          <w:rFonts w:ascii="Arial" w:eastAsia="Arial" w:hAnsi="Arial" w:cs="Arial"/>
          <w:b/>
        </w:rPr>
        <w:t xml:space="preserve"> </w:t>
      </w:r>
      <w:r>
        <w:rPr>
          <w:rFonts w:ascii="Arial" w:eastAsia="Arial" w:hAnsi="Arial" w:cs="Arial"/>
          <w:b/>
          <w:u w:val="single"/>
        </w:rPr>
        <w:t>Regulated</w:t>
      </w:r>
      <w:r>
        <w:rPr>
          <w:rFonts w:ascii="Arial" w:eastAsia="Arial" w:hAnsi="Arial" w:cs="Arial"/>
          <w:b/>
        </w:rPr>
        <w:t xml:space="preserve"> activities</w:t>
      </w:r>
    </w:p>
    <w:p w:rsidR="00AD0528" w:rsidP="00AD0528">
      <w:pPr>
        <w:ind w:left="360" w:firstLine="360"/>
        <w:rPr>
          <w:rFonts w:ascii="Arial" w:eastAsia="Arial" w:hAnsi="Arial" w:cs="Arial"/>
        </w:rPr>
      </w:pPr>
      <w:bookmarkStart w:id="37" w:name="_PAR__12_f514653f_2d0a_4a4b_a70d_6a6f83e"/>
      <w:bookmarkEnd w:id="36"/>
      <w:r>
        <w:rPr>
          <w:rFonts w:ascii="Arial" w:eastAsia="Arial" w:hAnsi="Arial" w:cs="Arial"/>
          <w:b/>
          <w:sz w:val="24"/>
        </w:rPr>
        <w:t>Sec. C-2.  5 MRSA §7039,</w:t>
      </w:r>
      <w:r>
        <w:rPr>
          <w:rFonts w:ascii="Arial" w:eastAsia="Arial" w:hAnsi="Arial" w:cs="Arial"/>
        </w:rPr>
        <w:t xml:space="preserve"> as corrected by RR 2001, c. 2, Part A, §9, is amended to read:</w:t>
      </w:r>
    </w:p>
    <w:p w:rsidR="00AD0528" w:rsidP="00AD0528">
      <w:pPr>
        <w:ind w:left="1080" w:hanging="720"/>
        <w:rPr>
          <w:rFonts w:ascii="Arial" w:eastAsia="Arial" w:hAnsi="Arial" w:cs="Arial"/>
        </w:rPr>
      </w:pPr>
      <w:bookmarkStart w:id="38" w:name="_PAR__13_6ad7e4cd_e1a6_440a_9857_4a5ffed"/>
      <w:bookmarkEnd w:id="37"/>
      <w:r>
        <w:rPr>
          <w:rFonts w:ascii="Arial" w:eastAsia="Arial" w:hAnsi="Arial" w:cs="Arial"/>
          <w:b/>
        </w:rPr>
        <w:t>§7039.  Civil Service Law</w:t>
      </w:r>
    </w:p>
    <w:p w:rsidR="00AD0528" w:rsidP="00AD0528">
      <w:pPr>
        <w:ind w:left="360" w:firstLine="360"/>
        <w:rPr>
          <w:rFonts w:ascii="Arial" w:eastAsia="Arial" w:hAnsi="Arial" w:cs="Arial"/>
        </w:rPr>
      </w:pPr>
      <w:bookmarkStart w:id="39" w:name="_PAGE__3_5ddb44f7_f72d_4d43_a8c6_c944248"/>
      <w:bookmarkStart w:id="40" w:name="_PAR__2_7c2e263c_ee00_48b1_b80c_a0cdd934"/>
      <w:bookmarkEnd w:id="26"/>
      <w:bookmarkEnd w:id="38"/>
      <w:r>
        <w:rPr>
          <w:rFonts w:ascii="Arial" w:eastAsia="Arial" w:hAnsi="Arial" w:cs="Arial"/>
        </w:rPr>
        <w:t xml:space="preserve">The Civil Service Law consists of chapters </w:t>
      </w:r>
      <w:r>
        <w:rPr>
          <w:rFonts w:ascii="Arial" w:eastAsia="Arial" w:hAnsi="Arial" w:cs="Arial"/>
          <w:u w:val="single"/>
        </w:rPr>
        <w:t>56-A,</w:t>
      </w:r>
      <w:r>
        <w:rPr>
          <w:rFonts w:ascii="Arial" w:eastAsia="Arial" w:hAnsi="Arial" w:cs="Arial"/>
        </w:rPr>
        <w:t xml:space="preserve"> 65, 67, 68, 69</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71 and this chapter.  Whenever reference is made in statute or rule to the Civil Service Law, the chapters delineated in this section apply.</w:t>
      </w:r>
    </w:p>
    <w:p w:rsidR="00AD0528" w:rsidP="00AD0528">
      <w:pPr>
        <w:ind w:left="360" w:firstLine="360"/>
        <w:rPr>
          <w:rFonts w:ascii="Arial" w:eastAsia="Arial" w:hAnsi="Arial" w:cs="Arial"/>
        </w:rPr>
      </w:pPr>
      <w:bookmarkStart w:id="41" w:name="_PAR__3_a7179bc4_9b55_4e97_b4da_395d0c8d"/>
      <w:bookmarkEnd w:id="40"/>
      <w:r>
        <w:rPr>
          <w:rFonts w:ascii="Arial" w:eastAsia="Arial" w:hAnsi="Arial" w:cs="Arial"/>
          <w:b/>
          <w:sz w:val="24"/>
        </w:rPr>
        <w:t>Sec. C-3.  9-B MRSA §131, sub-§22-B,</w:t>
      </w:r>
      <w:r>
        <w:rPr>
          <w:rFonts w:ascii="Arial" w:eastAsia="Arial" w:hAnsi="Arial" w:cs="Arial"/>
        </w:rPr>
        <w:t xml:space="preserve"> as enacted by PL 1997, c. 315, §9, is amended to read:</w:t>
      </w:r>
    </w:p>
    <w:p w:rsidR="00AD0528" w:rsidP="00AD0528">
      <w:pPr>
        <w:ind w:left="360" w:firstLine="360"/>
        <w:rPr>
          <w:rFonts w:ascii="Arial" w:eastAsia="Arial" w:hAnsi="Arial" w:cs="Arial"/>
        </w:rPr>
      </w:pPr>
      <w:bookmarkStart w:id="42" w:name="_PAR__4_32b9b76a_2357_4bb3_a64a_d30ebfe8"/>
      <w:bookmarkEnd w:id="41"/>
      <w:r>
        <w:rPr>
          <w:rFonts w:ascii="Arial" w:eastAsia="Arial" w:hAnsi="Arial" w:cs="Arial"/>
          <w:b/>
        </w:rPr>
        <w:t xml:space="preserve">22-B.  Insurance agent </w:t>
      </w:r>
      <w:r>
        <w:rPr>
          <w:rFonts w:ascii="Arial" w:eastAsia="Arial" w:hAnsi="Arial" w:cs="Arial"/>
          <w:b/>
          <w:strike/>
        </w:rPr>
        <w:t>or agency</w:t>
      </w:r>
      <w:r>
        <w:rPr>
          <w:rFonts w:ascii="Arial" w:eastAsia="Arial" w:hAnsi="Arial" w:cs="Arial"/>
          <w:b/>
        </w:rPr>
        <w:t xml:space="preserve"> </w:t>
      </w:r>
      <w:r>
        <w:rPr>
          <w:rFonts w:ascii="Arial" w:eastAsia="Arial" w:hAnsi="Arial" w:cs="Arial"/>
          <w:b/>
          <w:u w:val="single"/>
        </w:rPr>
        <w:t>and insurance producer</w:t>
      </w:r>
      <w:r>
        <w:rPr>
          <w:rFonts w:ascii="Arial" w:eastAsia="Arial" w:hAnsi="Arial" w:cs="Arial"/>
          <w:b/>
        </w:rPr>
        <w:t xml:space="preserve">. </w:t>
      </w:r>
      <w:r>
        <w:rPr>
          <w:rFonts w:ascii="Arial" w:eastAsia="Arial" w:hAnsi="Arial" w:cs="Arial"/>
        </w:rPr>
        <w:t xml:space="preserve"> "Insurance agent </w:t>
      </w:r>
      <w:r>
        <w:rPr>
          <w:rFonts w:ascii="Arial" w:eastAsia="Arial" w:hAnsi="Arial" w:cs="Arial"/>
          <w:strike/>
        </w:rPr>
        <w:t>or agency</w:t>
      </w:r>
      <w:r>
        <w:rPr>
          <w:rFonts w:ascii="Arial" w:eastAsia="Arial" w:hAnsi="Arial" w:cs="Arial"/>
        </w:rPr>
        <w:t xml:space="preserve">" </w:t>
      </w:r>
      <w:r>
        <w:rPr>
          <w:rFonts w:ascii="Arial" w:eastAsia="Arial" w:hAnsi="Arial" w:cs="Arial"/>
          <w:strike/>
        </w:rPr>
        <w:t>means a person engaged in the business of an insurance agent as defined</w:t>
      </w:r>
      <w:r>
        <w:rPr>
          <w:rFonts w:ascii="Arial" w:eastAsia="Arial" w:hAnsi="Arial" w:cs="Arial"/>
        </w:rPr>
        <w:t xml:space="preserve"> </w:t>
      </w:r>
      <w:r>
        <w:rPr>
          <w:rFonts w:ascii="Arial" w:eastAsia="Arial" w:hAnsi="Arial" w:cs="Arial"/>
          <w:u w:val="single"/>
        </w:rPr>
        <w:t>and "insurance producer" have the same meaning as "insurance producer"</w:t>
      </w:r>
      <w:r>
        <w:rPr>
          <w:rFonts w:ascii="Arial" w:eastAsia="Arial" w:hAnsi="Arial" w:cs="Arial"/>
        </w:rPr>
        <w:t xml:space="preserve"> in Title 24‑A, section </w:t>
      </w:r>
      <w:r>
        <w:rPr>
          <w:rFonts w:ascii="Arial" w:eastAsia="Arial" w:hAnsi="Arial" w:cs="Arial"/>
          <w:strike/>
        </w:rPr>
        <w:t>1502</w:t>
      </w:r>
      <w:r>
        <w:rPr>
          <w:rFonts w:ascii="Arial" w:eastAsia="Arial" w:hAnsi="Arial" w:cs="Arial"/>
        </w:rPr>
        <w:t xml:space="preserve"> </w:t>
      </w:r>
      <w:r>
        <w:rPr>
          <w:rFonts w:ascii="Arial" w:eastAsia="Arial" w:hAnsi="Arial" w:cs="Arial"/>
          <w:u w:val="single"/>
        </w:rPr>
        <w:t>1402, subsection 5</w:t>
      </w:r>
      <w:r>
        <w:rPr>
          <w:rFonts w:ascii="Arial" w:eastAsia="Arial" w:hAnsi="Arial" w:cs="Arial"/>
        </w:rPr>
        <w:t>.</w:t>
      </w:r>
    </w:p>
    <w:p w:rsidR="00AD0528" w:rsidP="00AD0528">
      <w:pPr>
        <w:ind w:left="360" w:firstLine="360"/>
        <w:rPr>
          <w:rFonts w:ascii="Arial" w:eastAsia="Arial" w:hAnsi="Arial" w:cs="Arial"/>
        </w:rPr>
      </w:pPr>
      <w:bookmarkStart w:id="43" w:name="_PAR__5_6d2cb6c4_102e_4f67_a755_e338b912"/>
      <w:bookmarkEnd w:id="42"/>
      <w:r>
        <w:rPr>
          <w:rFonts w:ascii="Arial" w:eastAsia="Arial" w:hAnsi="Arial" w:cs="Arial"/>
          <w:b/>
          <w:sz w:val="24"/>
        </w:rPr>
        <w:t>Sec. C-4.  9-B MRSA §131, sub-§22-C,</w:t>
      </w:r>
      <w:r>
        <w:rPr>
          <w:rFonts w:ascii="Arial" w:eastAsia="Arial" w:hAnsi="Arial" w:cs="Arial"/>
        </w:rPr>
        <w:t xml:space="preserve"> as enacted by PL 1997, c. 315, §9, is repealed.</w:t>
      </w:r>
    </w:p>
    <w:p w:rsidR="00AD0528" w:rsidP="00AD0528">
      <w:pPr>
        <w:ind w:left="360" w:firstLine="360"/>
        <w:rPr>
          <w:rFonts w:ascii="Arial" w:eastAsia="Arial" w:hAnsi="Arial" w:cs="Arial"/>
        </w:rPr>
      </w:pPr>
      <w:bookmarkStart w:id="44" w:name="_PAR__6_9c75aaa1_f760_463c_af72_e3e865c8"/>
      <w:bookmarkEnd w:id="43"/>
      <w:r>
        <w:rPr>
          <w:rFonts w:ascii="Arial" w:eastAsia="Arial" w:hAnsi="Arial" w:cs="Arial"/>
          <w:b/>
          <w:sz w:val="24"/>
        </w:rPr>
        <w:t>Sec. C-5.  9-B MRSA §427, sub-§3, ¶C,</w:t>
      </w:r>
      <w:r>
        <w:rPr>
          <w:rFonts w:ascii="Arial" w:eastAsia="Arial" w:hAnsi="Arial" w:cs="Arial"/>
        </w:rPr>
        <w:t xml:space="preserve"> as enacted by PL 1975, c. 500, §1, is amended to read:</w:t>
      </w:r>
    </w:p>
    <w:p w:rsidR="00AD0528" w:rsidP="00AD0528">
      <w:pPr>
        <w:ind w:left="720"/>
        <w:rPr>
          <w:rFonts w:ascii="Arial" w:eastAsia="Arial" w:hAnsi="Arial" w:cs="Arial"/>
        </w:rPr>
      </w:pPr>
      <w:bookmarkStart w:id="45" w:name="_PAR__7_6633a96e_e2ec_49cc_b760_9b7dd1f1"/>
      <w:bookmarkEnd w:id="44"/>
      <w:r>
        <w:rPr>
          <w:rFonts w:ascii="Arial" w:eastAsia="Arial" w:hAnsi="Arial" w:cs="Arial"/>
        </w:rPr>
        <w:t xml:space="preserve">C.  </w:t>
      </w:r>
      <w:r>
        <w:rPr>
          <w:rFonts w:ascii="Arial" w:eastAsia="Arial" w:hAnsi="Arial" w:cs="Arial"/>
          <w:strike/>
        </w:rPr>
        <w:t>Nothing contained in this</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subsection </w:t>
      </w:r>
      <w:r>
        <w:rPr>
          <w:rFonts w:ascii="Arial" w:eastAsia="Arial" w:hAnsi="Arial" w:cs="Arial"/>
          <w:strike/>
        </w:rPr>
        <w:t>shall be deemed</w:t>
      </w:r>
      <w:r>
        <w:rPr>
          <w:rFonts w:ascii="Arial" w:eastAsia="Arial" w:hAnsi="Arial" w:cs="Arial"/>
        </w:rPr>
        <w:t xml:space="preserve"> </w:t>
      </w:r>
      <w:r>
        <w:rPr>
          <w:rFonts w:ascii="Arial" w:eastAsia="Arial" w:hAnsi="Arial" w:cs="Arial"/>
          <w:u w:val="single"/>
        </w:rPr>
        <w:t>may not be construed</w:t>
      </w:r>
      <w:r>
        <w:rPr>
          <w:rFonts w:ascii="Arial" w:eastAsia="Arial" w:hAnsi="Arial" w:cs="Arial"/>
        </w:rPr>
        <w:t xml:space="preserve"> to modify or otherwise affect Title 11, section </w:t>
      </w:r>
      <w:r>
        <w:rPr>
          <w:rFonts w:ascii="Arial" w:eastAsia="Arial" w:hAnsi="Arial" w:cs="Arial"/>
          <w:strike/>
        </w:rPr>
        <w:t>1‑201, subsection 25 or Title 11, section 3‑304, nor</w:t>
      </w:r>
      <w:r>
        <w:rPr>
          <w:rFonts w:ascii="Arial" w:eastAsia="Arial" w:hAnsi="Arial" w:cs="Arial"/>
        </w:rPr>
        <w:t xml:space="preserve"> </w:t>
      </w:r>
      <w:r>
        <w:rPr>
          <w:rFonts w:ascii="Arial" w:eastAsia="Arial" w:hAnsi="Arial" w:cs="Arial"/>
          <w:u w:val="single"/>
        </w:rPr>
        <w:t>1-1202, 3-1302, 3-1304 or 3-1307 or</w:t>
      </w:r>
      <w:r>
        <w:rPr>
          <w:rFonts w:ascii="Arial" w:eastAsia="Arial" w:hAnsi="Arial" w:cs="Arial"/>
        </w:rPr>
        <w:t xml:space="preserve"> to relieve </w:t>
      </w:r>
      <w:r>
        <w:rPr>
          <w:rFonts w:ascii="Arial" w:eastAsia="Arial" w:hAnsi="Arial" w:cs="Arial"/>
          <w:strike/>
        </w:rPr>
        <w:t>such</w:t>
      </w:r>
      <w:r>
        <w:rPr>
          <w:rFonts w:ascii="Arial" w:eastAsia="Arial" w:hAnsi="Arial" w:cs="Arial"/>
        </w:rPr>
        <w:t xml:space="preserve"> </w:t>
      </w:r>
      <w:r>
        <w:rPr>
          <w:rFonts w:ascii="Arial" w:eastAsia="Arial" w:hAnsi="Arial" w:cs="Arial"/>
          <w:u w:val="single"/>
        </w:rPr>
        <w:t>a drawee financial</w:t>
      </w:r>
      <w:r>
        <w:rPr>
          <w:rFonts w:ascii="Arial" w:eastAsia="Arial" w:hAnsi="Arial" w:cs="Arial"/>
        </w:rPr>
        <w:t xml:space="preserve"> institution from any liability imposed upon it by law to the extent of any payment or amount </w:t>
      </w:r>
      <w:r>
        <w:rPr>
          <w:rFonts w:ascii="Arial" w:eastAsia="Arial" w:hAnsi="Arial" w:cs="Arial"/>
          <w:strike/>
        </w:rPr>
        <w:t>which such</w:t>
      </w:r>
      <w:r>
        <w:rPr>
          <w:rFonts w:ascii="Arial" w:eastAsia="Arial" w:hAnsi="Arial" w:cs="Arial"/>
        </w:rPr>
        <w:t xml:space="preserve"> </w:t>
      </w:r>
      <w:r>
        <w:rPr>
          <w:rFonts w:ascii="Arial" w:eastAsia="Arial" w:hAnsi="Arial" w:cs="Arial"/>
          <w:u w:val="single"/>
        </w:rPr>
        <w:t>that the</w:t>
      </w:r>
      <w:r>
        <w:rPr>
          <w:rFonts w:ascii="Arial" w:eastAsia="Arial" w:hAnsi="Arial" w:cs="Arial"/>
        </w:rPr>
        <w:t xml:space="preserve"> institution may receive for its benefit from any </w:t>
      </w:r>
      <w:r>
        <w:rPr>
          <w:rFonts w:ascii="Arial" w:eastAsia="Arial" w:hAnsi="Arial" w:cs="Arial"/>
          <w:strike/>
        </w:rPr>
        <w:t>of such</w:t>
      </w:r>
      <w:r>
        <w:rPr>
          <w:rFonts w:ascii="Arial" w:eastAsia="Arial" w:hAnsi="Arial" w:cs="Arial"/>
        </w:rPr>
        <w:t xml:space="preserve"> checks </w:t>
      </w:r>
      <w:r>
        <w:rPr>
          <w:rFonts w:ascii="Arial" w:eastAsia="Arial" w:hAnsi="Arial" w:cs="Arial"/>
          <w:u w:val="single"/>
        </w:rPr>
        <w:t>drawn or endorsed as described in paragraph A</w:t>
      </w:r>
      <w:r>
        <w:rPr>
          <w:rFonts w:ascii="Arial" w:eastAsia="Arial" w:hAnsi="Arial" w:cs="Arial"/>
        </w:rPr>
        <w:t xml:space="preserve"> or funds represented </w:t>
      </w:r>
      <w:r>
        <w:rPr>
          <w:rFonts w:ascii="Arial" w:eastAsia="Arial" w:hAnsi="Arial" w:cs="Arial"/>
          <w:strike/>
        </w:rPr>
        <w:t>thereby</w:t>
      </w:r>
      <w:r>
        <w:rPr>
          <w:rFonts w:ascii="Arial" w:eastAsia="Arial" w:hAnsi="Arial" w:cs="Arial"/>
        </w:rPr>
        <w:t xml:space="preserve"> </w:t>
      </w:r>
      <w:r>
        <w:rPr>
          <w:rFonts w:ascii="Arial" w:eastAsia="Arial" w:hAnsi="Arial" w:cs="Arial"/>
          <w:u w:val="single"/>
        </w:rPr>
        <w:t>by those checks</w:t>
      </w:r>
      <w:r>
        <w:rPr>
          <w:rFonts w:ascii="Arial" w:eastAsia="Arial" w:hAnsi="Arial" w:cs="Arial"/>
        </w:rPr>
        <w:t>.</w:t>
      </w:r>
    </w:p>
    <w:p w:rsidR="00AD0528" w:rsidP="00AD0528">
      <w:pPr>
        <w:ind w:left="360" w:firstLine="360"/>
        <w:rPr>
          <w:rFonts w:ascii="Arial" w:eastAsia="Arial" w:hAnsi="Arial" w:cs="Arial"/>
        </w:rPr>
      </w:pPr>
      <w:bookmarkStart w:id="46" w:name="_PAR__8_8d3f5d31_62ad_4650_8f6b_bb117bbc"/>
      <w:bookmarkEnd w:id="45"/>
      <w:r>
        <w:rPr>
          <w:rFonts w:ascii="Arial" w:eastAsia="Arial" w:hAnsi="Arial" w:cs="Arial"/>
          <w:b/>
          <w:sz w:val="24"/>
        </w:rPr>
        <w:t>Sec. C-6.  9-B MRSA §448,</w:t>
      </w:r>
      <w:r>
        <w:rPr>
          <w:rFonts w:ascii="Arial" w:eastAsia="Arial" w:hAnsi="Arial" w:cs="Arial"/>
        </w:rPr>
        <w:t xml:space="preserve"> as amended by PL 1999, c. 790, Pt. A, §10 and PL 2007, c. 273, Pt. B, §§5 and 6 and affected by §7 and c. 695, Pt. A, §47, is further amended by amending the section headnote to read:</w:t>
      </w:r>
    </w:p>
    <w:p w:rsidR="00AD0528" w:rsidP="00AD0528">
      <w:pPr>
        <w:ind w:left="1080" w:hanging="720"/>
        <w:rPr>
          <w:rFonts w:ascii="Arial" w:eastAsia="Arial" w:hAnsi="Arial" w:cs="Arial"/>
        </w:rPr>
      </w:pPr>
      <w:bookmarkStart w:id="47" w:name="_PAR__9_d26002c5_f011_41c7_ae12_ade7c7f3"/>
      <w:bookmarkEnd w:id="46"/>
      <w:r>
        <w:rPr>
          <w:rFonts w:ascii="Arial" w:eastAsia="Arial" w:hAnsi="Arial" w:cs="Arial"/>
          <w:b/>
        </w:rPr>
        <w:t xml:space="preserve">§448.  Insurance </w:t>
      </w:r>
      <w:r>
        <w:rPr>
          <w:rFonts w:ascii="Arial" w:eastAsia="Arial" w:hAnsi="Arial" w:cs="Arial"/>
          <w:b/>
          <w:strike/>
        </w:rPr>
        <w:t>agency</w:t>
      </w:r>
      <w:r>
        <w:rPr>
          <w:rFonts w:ascii="Arial" w:eastAsia="Arial" w:hAnsi="Arial" w:cs="Arial"/>
          <w:b/>
        </w:rPr>
        <w:t xml:space="preserve"> activities</w:t>
      </w:r>
    </w:p>
    <w:p w:rsidR="00AD0528" w:rsidP="00AD0528">
      <w:pPr>
        <w:ind w:left="360" w:firstLine="360"/>
        <w:rPr>
          <w:rFonts w:ascii="Arial" w:eastAsia="Arial" w:hAnsi="Arial" w:cs="Arial"/>
        </w:rPr>
      </w:pPr>
      <w:bookmarkStart w:id="48" w:name="_PAR__10_67f0512e_68b0_4e09_b7b5_818c04a"/>
      <w:bookmarkEnd w:id="47"/>
      <w:r>
        <w:rPr>
          <w:rFonts w:ascii="Arial" w:eastAsia="Arial" w:hAnsi="Arial" w:cs="Arial"/>
          <w:b/>
          <w:sz w:val="24"/>
        </w:rPr>
        <w:t>Sec. C-7.  9-B MRSA §448, sub-§3,</w:t>
      </w:r>
      <w:r>
        <w:rPr>
          <w:rFonts w:ascii="Arial" w:eastAsia="Arial" w:hAnsi="Arial" w:cs="Arial"/>
        </w:rPr>
        <w:t xml:space="preserve"> as enacted by PL 1997, c. 315, §17, is amended to read:</w:t>
      </w:r>
    </w:p>
    <w:p w:rsidR="00AD0528" w:rsidP="00AD0528">
      <w:pPr>
        <w:ind w:left="360" w:firstLine="360"/>
        <w:rPr>
          <w:rFonts w:ascii="Arial" w:eastAsia="Arial" w:hAnsi="Arial" w:cs="Arial"/>
        </w:rPr>
      </w:pPr>
      <w:bookmarkStart w:id="49" w:name="_PAR__11_cd4053b5_1939_445a_9158_8605b8b"/>
      <w:bookmarkEnd w:id="48"/>
      <w:r>
        <w:rPr>
          <w:rFonts w:ascii="Arial" w:eastAsia="Arial" w:hAnsi="Arial" w:cs="Arial"/>
          <w:b/>
        </w:rPr>
        <w:t xml:space="preserve">3.  Customer notice that insurance is not federally guaranteed. </w:t>
      </w:r>
      <w:r>
        <w:rPr>
          <w:rFonts w:ascii="Arial" w:eastAsia="Arial" w:hAnsi="Arial" w:cs="Arial"/>
        </w:rPr>
        <w:t xml:space="preserve"> An institution that engages in insurance </w:t>
      </w:r>
      <w:r>
        <w:rPr>
          <w:rFonts w:ascii="Arial" w:eastAsia="Arial" w:hAnsi="Arial" w:cs="Arial"/>
          <w:strike/>
        </w:rPr>
        <w:t>agency or brokerage</w:t>
      </w:r>
      <w:r>
        <w:rPr>
          <w:rFonts w:ascii="Arial" w:eastAsia="Arial" w:hAnsi="Arial" w:cs="Arial"/>
        </w:rPr>
        <w:t xml:space="preserve"> activities authorized under subsection 1 must provide customer notice regarding insurance products in the following manner.</w:t>
      </w:r>
    </w:p>
    <w:p w:rsidR="00AD0528" w:rsidP="00AD0528">
      <w:pPr>
        <w:ind w:left="720"/>
        <w:rPr>
          <w:rFonts w:ascii="Arial" w:eastAsia="Arial" w:hAnsi="Arial" w:cs="Arial"/>
        </w:rPr>
      </w:pPr>
      <w:bookmarkStart w:id="50" w:name="_PAR__12_064f097a_66a7_424d_8f6a_31bd16b"/>
      <w:bookmarkEnd w:id="49"/>
      <w:r>
        <w:rPr>
          <w:rFonts w:ascii="Arial" w:eastAsia="Arial" w:hAnsi="Arial" w:cs="Arial"/>
        </w:rPr>
        <w:t>A.  The institution shall post conspicuously a notice that is clearly visible to all customers that may purchase insurance products from the institution.  The notice must state in clearly understandable language that the insurance is not insured by the Federal Deposit Insurance Corporation or National Credit Union Administration, as applicable;</w:t>
      </w:r>
    </w:p>
    <w:p w:rsidR="00AD0528" w:rsidP="00AD0528">
      <w:pPr>
        <w:ind w:left="720"/>
        <w:rPr>
          <w:rFonts w:ascii="Arial" w:eastAsia="Arial" w:hAnsi="Arial" w:cs="Arial"/>
        </w:rPr>
      </w:pPr>
      <w:bookmarkStart w:id="51" w:name="_PAR__13_fce40ba4_3454_44be_b16b_7078b0c"/>
      <w:bookmarkEnd w:id="50"/>
      <w:r>
        <w:rPr>
          <w:rFonts w:ascii="Arial" w:eastAsia="Arial" w:hAnsi="Arial" w:cs="Arial"/>
        </w:rPr>
        <w:t>B.  When a prospective purchaser of insurance is directly and personally contacted by the institution, the institution shall orally inform that prospective purchaser of insurance that the insurance product is not insured by the Federal Deposit Insurance Corporation or National Credit Union Administration, as applicable; and</w:t>
      </w:r>
    </w:p>
    <w:p w:rsidR="00AD0528" w:rsidP="00AD0528">
      <w:pPr>
        <w:ind w:left="720"/>
        <w:rPr>
          <w:rFonts w:ascii="Arial" w:eastAsia="Arial" w:hAnsi="Arial" w:cs="Arial"/>
        </w:rPr>
      </w:pPr>
      <w:bookmarkStart w:id="52" w:name="_PAR__14_582badf0_7cdf_400f_902c_c3ba59c"/>
      <w:bookmarkEnd w:id="51"/>
      <w:r>
        <w:rPr>
          <w:rFonts w:ascii="Arial" w:eastAsia="Arial" w:hAnsi="Arial" w:cs="Arial"/>
        </w:rPr>
        <w:t>C.  Before the sale of an insurance product is completed the institution must obtain a written statement signed by the purchaser of insurance that the purchaser received the oral notice required by paragraph B.</w:t>
      </w:r>
    </w:p>
    <w:p w:rsidR="00AD0528" w:rsidP="00AD0528">
      <w:pPr>
        <w:ind w:left="360" w:firstLine="360"/>
        <w:rPr>
          <w:rFonts w:ascii="Arial" w:eastAsia="Arial" w:hAnsi="Arial" w:cs="Arial"/>
        </w:rPr>
      </w:pPr>
      <w:bookmarkStart w:id="53" w:name="_PAR__15_d38b9b14_a659_4703_99de_b34f904"/>
      <w:bookmarkEnd w:id="52"/>
      <w:r>
        <w:rPr>
          <w:rFonts w:ascii="Arial" w:eastAsia="Arial" w:hAnsi="Arial" w:cs="Arial"/>
          <w:b/>
          <w:sz w:val="24"/>
        </w:rPr>
        <w:t>Sec. C-8.  12 MRSA §6025, sub-§1,</w:t>
      </w:r>
      <w:r>
        <w:rPr>
          <w:rFonts w:ascii="Arial" w:eastAsia="Arial" w:hAnsi="Arial" w:cs="Arial"/>
        </w:rPr>
        <w:t xml:space="preserve"> as amended by PL 1985, c. 785, Pt. B, §67, is further amended to read:</w:t>
      </w:r>
    </w:p>
    <w:p w:rsidR="00AD0528" w:rsidP="00AD0528">
      <w:pPr>
        <w:ind w:left="360" w:firstLine="360"/>
        <w:rPr>
          <w:rFonts w:ascii="Arial" w:eastAsia="Arial" w:hAnsi="Arial" w:cs="Arial"/>
        </w:rPr>
      </w:pPr>
      <w:bookmarkStart w:id="54" w:name="_PAGE__4_92292cd9_b78d_42e4_a17b_e111423"/>
      <w:bookmarkStart w:id="55" w:name="_PAR__2_3f1afc24_227c_40b1_9108_15a88385"/>
      <w:bookmarkEnd w:id="39"/>
      <w:bookmarkEnd w:id="53"/>
      <w:r>
        <w:rPr>
          <w:rFonts w:ascii="Arial" w:eastAsia="Arial" w:hAnsi="Arial" w:cs="Arial"/>
          <w:b/>
        </w:rPr>
        <w:t xml:space="preserve">1.  Appointment. </w:t>
      </w:r>
      <w:r>
        <w:rPr>
          <w:rFonts w:ascii="Arial" w:eastAsia="Arial" w:hAnsi="Arial" w:cs="Arial"/>
        </w:rPr>
        <w:t xml:space="preserve"> Applicants for the position of a marine patrol officer who qualify under the officer's code and pass the examination administered by the Bureau of Human Resources may be appointed by the commissioner to hold office under </w:t>
      </w:r>
      <w:r>
        <w:rPr>
          <w:rFonts w:ascii="Arial" w:eastAsia="Arial" w:hAnsi="Arial" w:cs="Arial"/>
          <w:strike/>
        </w:rPr>
        <w:t>Title 5, chapters 51 to 67</w:t>
      </w:r>
      <w:r>
        <w:rPr>
          <w:rFonts w:ascii="Arial" w:eastAsia="Arial" w:hAnsi="Arial" w:cs="Arial"/>
        </w:rPr>
        <w:t xml:space="preserve"> </w:t>
      </w:r>
      <w:r>
        <w:rPr>
          <w:rFonts w:ascii="Arial" w:eastAsia="Arial" w:hAnsi="Arial" w:cs="Arial"/>
          <w:u w:val="single"/>
        </w:rPr>
        <w:t>the Civil Service Law</w:t>
      </w:r>
      <w:r>
        <w:rPr>
          <w:rFonts w:ascii="Arial" w:eastAsia="Arial" w:hAnsi="Arial" w:cs="Arial"/>
        </w:rPr>
        <w:t xml:space="preserve"> and under the officer's code.</w:t>
      </w:r>
    </w:p>
    <w:p w:rsidR="00AD0528" w:rsidP="00AD0528">
      <w:pPr>
        <w:ind w:left="360" w:firstLine="360"/>
        <w:rPr>
          <w:rFonts w:ascii="Arial" w:eastAsia="Arial" w:hAnsi="Arial" w:cs="Arial"/>
        </w:rPr>
      </w:pPr>
      <w:bookmarkStart w:id="56" w:name="_PAR__3_4ebb01ed_82db_47da_90d7_97c8e24b"/>
      <w:bookmarkEnd w:id="55"/>
      <w:r>
        <w:rPr>
          <w:rFonts w:ascii="Arial" w:eastAsia="Arial" w:hAnsi="Arial" w:cs="Arial"/>
          <w:b/>
          <w:sz w:val="24"/>
        </w:rPr>
        <w:t>Sec. C-9.  24-A MRSA §4362, sub-§3,</w:t>
      </w:r>
      <w:r>
        <w:rPr>
          <w:rFonts w:ascii="Arial" w:eastAsia="Arial" w:hAnsi="Arial" w:cs="Arial"/>
        </w:rPr>
        <w:t xml:space="preserve"> as enacted by PL 1969, c. 132, §1 and amended by PL 1973, c. 585, §12, is further amended to read:</w:t>
      </w:r>
    </w:p>
    <w:p w:rsidR="00AD0528" w:rsidP="00AD0528">
      <w:pPr>
        <w:ind w:left="360" w:firstLine="360"/>
        <w:rPr>
          <w:rFonts w:ascii="Arial" w:eastAsia="Arial" w:hAnsi="Arial" w:cs="Arial"/>
        </w:rPr>
      </w:pPr>
      <w:bookmarkStart w:id="57" w:name="_PAR__4_1707de20_14a0_4065_a734_4457d1e9"/>
      <w:bookmarkEnd w:id="56"/>
      <w:r>
        <w:rPr>
          <w:rFonts w:ascii="Arial" w:eastAsia="Arial" w:hAnsi="Arial" w:cs="Arial"/>
          <w:b/>
        </w:rPr>
        <w:t xml:space="preserve">3.  </w:t>
      </w:r>
      <w:r>
        <w:rPr>
          <w:rFonts w:ascii="Arial" w:eastAsia="Arial" w:hAnsi="Arial" w:cs="Arial"/>
        </w:rPr>
        <w:t xml:space="preserve"> Notwithstanding any other provision of law, no bond shall be required of the superintendent as a prerequisite for the issuance of any injunction or restraining order pursuant to </w:t>
      </w:r>
      <w:r>
        <w:rPr>
          <w:rFonts w:ascii="Arial" w:eastAsia="Arial" w:hAnsi="Arial" w:cs="Arial"/>
          <w:strike/>
        </w:rPr>
        <w:t>this section</w:t>
      </w:r>
      <w:r>
        <w:rPr>
          <w:rFonts w:ascii="Arial" w:eastAsia="Arial" w:hAnsi="Arial" w:cs="Arial"/>
        </w:rPr>
        <w:t xml:space="preserve"> </w:t>
      </w:r>
      <w:r>
        <w:rPr>
          <w:rFonts w:ascii="Arial" w:eastAsia="Arial" w:hAnsi="Arial" w:cs="Arial"/>
          <w:u w:val="single"/>
        </w:rPr>
        <w:t>subsection 1 or 2</w:t>
      </w:r>
      <w:r>
        <w:rPr>
          <w:rFonts w:ascii="Arial" w:eastAsia="Arial" w:hAnsi="Arial" w:cs="Arial"/>
        </w:rPr>
        <w:t>.</w:t>
      </w:r>
    </w:p>
    <w:p w:rsidR="00AD0528" w:rsidP="00AD0528">
      <w:pPr>
        <w:ind w:left="360" w:firstLine="360"/>
        <w:rPr>
          <w:rFonts w:ascii="Arial" w:eastAsia="Arial" w:hAnsi="Arial" w:cs="Arial"/>
        </w:rPr>
      </w:pPr>
      <w:bookmarkStart w:id="58" w:name="_PAR__5_ce018419_55c3_4c92_906f_2c7f90f1"/>
      <w:bookmarkEnd w:id="57"/>
      <w:r>
        <w:rPr>
          <w:rFonts w:ascii="Arial" w:eastAsia="Arial" w:hAnsi="Arial" w:cs="Arial"/>
          <w:b/>
          <w:sz w:val="24"/>
        </w:rPr>
        <w:t>Sec. C-10.  24-A MRSA §4362, sub-§4,</w:t>
      </w:r>
      <w:r>
        <w:rPr>
          <w:rFonts w:ascii="Arial" w:eastAsia="Arial" w:hAnsi="Arial" w:cs="Arial"/>
        </w:rPr>
        <w:t xml:space="preserve"> as enacted by PL 2025, c. 17, §3, is amended to read:</w:t>
      </w:r>
    </w:p>
    <w:p w:rsidR="00AD0528" w:rsidP="00AD0528">
      <w:pPr>
        <w:ind w:left="360" w:firstLine="360"/>
        <w:rPr>
          <w:rFonts w:ascii="Arial" w:eastAsia="Arial" w:hAnsi="Arial" w:cs="Arial"/>
        </w:rPr>
      </w:pPr>
      <w:bookmarkStart w:id="59" w:name="_PAR__6_b75a8989_2362_4ad0_ab37_3e2efea9"/>
      <w:bookmarkEnd w:id="58"/>
      <w:r>
        <w:rPr>
          <w:rFonts w:ascii="Arial" w:eastAsia="Arial" w:hAnsi="Arial" w:cs="Arial"/>
          <w:b/>
        </w:rPr>
        <w:t xml:space="preserve">4.  </w:t>
      </w:r>
      <w:r>
        <w:rPr>
          <w:rFonts w:ascii="Arial" w:eastAsia="Arial" w:hAnsi="Arial" w:cs="Arial"/>
        </w:rPr>
        <w:t xml:space="preserve"> Notwithstanding subsections 1</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2 or </w:t>
      </w:r>
      <w:r>
        <w:rPr>
          <w:rFonts w:ascii="Arial" w:eastAsia="Arial" w:hAnsi="Arial" w:cs="Arial"/>
          <w:strike/>
        </w:rPr>
        <w:t>3 or</w:t>
      </w:r>
      <w:r>
        <w:rPr>
          <w:rFonts w:ascii="Arial" w:eastAsia="Arial" w:hAnsi="Arial" w:cs="Arial"/>
        </w:rPr>
        <w:t xml:space="preserve"> any provision of this chapter to the contrary, a person may not for more than 10 days be restrained, enjoined or prohibited from exercising or enforcing any right or cause of action under any pledge, security, credit, collateral, loan, advance, reimbursement, guarantee agreement or arrangement or any similar agreement, arrangement or other credit enhancement to which a federal home loan bank is a party.</w:t>
      </w:r>
    </w:p>
    <w:p w:rsidR="00AD0528" w:rsidP="00AD0528">
      <w:pPr>
        <w:ind w:left="360" w:firstLine="360"/>
        <w:rPr>
          <w:rFonts w:ascii="Arial" w:eastAsia="Arial" w:hAnsi="Arial" w:cs="Arial"/>
        </w:rPr>
      </w:pPr>
      <w:bookmarkStart w:id="60" w:name="_PAR__7_35582550_29aa_4ff0_869b_43d66f7a"/>
      <w:bookmarkEnd w:id="59"/>
      <w:r>
        <w:rPr>
          <w:rFonts w:ascii="Arial" w:eastAsia="Arial" w:hAnsi="Arial" w:cs="Arial"/>
          <w:b/>
          <w:sz w:val="24"/>
        </w:rPr>
        <w:t>Sec. C-11.  26 MRSA §852,</w:t>
      </w:r>
      <w:r>
        <w:rPr>
          <w:rFonts w:ascii="Arial" w:eastAsia="Arial" w:hAnsi="Arial" w:cs="Arial"/>
        </w:rPr>
        <w:t xml:space="preserve"> as corrected by RR 2023, c. 2, Pt. E, §34, is amended to read:</w:t>
      </w:r>
    </w:p>
    <w:p w:rsidR="00AD0528" w:rsidP="00AD0528">
      <w:pPr>
        <w:ind w:left="1080" w:hanging="720"/>
        <w:rPr>
          <w:rFonts w:ascii="Arial" w:eastAsia="Arial" w:hAnsi="Arial" w:cs="Arial"/>
        </w:rPr>
      </w:pPr>
      <w:bookmarkStart w:id="61" w:name="_PAR__8_9f531c43_780a_4364_92a0_5f9b8bc8"/>
      <w:bookmarkEnd w:id="60"/>
      <w:r>
        <w:rPr>
          <w:rFonts w:ascii="Arial" w:eastAsia="Arial" w:hAnsi="Arial" w:cs="Arial"/>
          <w:b/>
        </w:rPr>
        <w:t>§852.  Employment of replacements prohibited</w:t>
      </w:r>
    </w:p>
    <w:p w:rsidR="00AD0528" w:rsidP="00AD0528">
      <w:pPr>
        <w:ind w:left="360" w:firstLine="360"/>
        <w:rPr>
          <w:rFonts w:ascii="Arial" w:eastAsia="Arial" w:hAnsi="Arial" w:cs="Arial"/>
        </w:rPr>
      </w:pPr>
      <w:bookmarkStart w:id="62" w:name="_PAR__9_2c5e5133_7809_4e94_8002_6097e11c"/>
      <w:bookmarkEnd w:id="61"/>
      <w:r>
        <w:rPr>
          <w:rFonts w:ascii="Arial" w:eastAsia="Arial" w:hAnsi="Arial" w:cs="Arial"/>
        </w:rPr>
        <w:t>A person, partnership, union, agency, firm or corporation or officer, employee or agent thereof may not recruit, procure, supply or refer any person for employment who customarily and repeatedly offers to accept employment in place of any employee involved in a labor</w:t>
      </w:r>
      <w:r>
        <w:rPr>
          <w:rFonts w:ascii="Arial" w:eastAsia="Arial" w:hAnsi="Arial" w:cs="Arial"/>
          <w:strike/>
        </w:rPr>
        <w:t>,</w:t>
      </w:r>
      <w:r>
        <w:rPr>
          <w:rFonts w:ascii="Arial" w:eastAsia="Arial" w:hAnsi="Arial" w:cs="Arial"/>
        </w:rPr>
        <w:t xml:space="preserve"> strike or lockout in which that person, partnership, union, agency, firm or corporation is not directly involved.</w:t>
      </w:r>
    </w:p>
    <w:p w:rsidR="00AD0528" w:rsidP="00AD0528">
      <w:pPr>
        <w:ind w:left="360" w:firstLine="360"/>
        <w:rPr>
          <w:rFonts w:ascii="Arial" w:eastAsia="Arial" w:hAnsi="Arial" w:cs="Arial"/>
        </w:rPr>
      </w:pPr>
      <w:bookmarkStart w:id="63" w:name="_PAR__10_e94aefcf_2309_4e4f_addb_674568a"/>
      <w:bookmarkEnd w:id="62"/>
      <w:r>
        <w:rPr>
          <w:rFonts w:ascii="Arial" w:eastAsia="Arial" w:hAnsi="Arial" w:cs="Arial"/>
          <w:b/>
          <w:sz w:val="24"/>
        </w:rPr>
        <w:t>Sec. C-12.  26 MRSA §853,</w:t>
      </w:r>
      <w:r>
        <w:rPr>
          <w:rFonts w:ascii="Arial" w:eastAsia="Arial" w:hAnsi="Arial" w:cs="Arial"/>
        </w:rPr>
        <w:t xml:space="preserve"> as corrected by RR 2023, c. 2, Pt. E, §35, is amended to read:</w:t>
      </w:r>
    </w:p>
    <w:p w:rsidR="00AD0528" w:rsidP="00AD0528">
      <w:pPr>
        <w:ind w:left="1080" w:hanging="720"/>
        <w:rPr>
          <w:rFonts w:ascii="Arial" w:eastAsia="Arial" w:hAnsi="Arial" w:cs="Arial"/>
        </w:rPr>
      </w:pPr>
      <w:bookmarkStart w:id="64" w:name="_PAR__11_2942a092_9117_4cf8_a40c_e4d1f6a"/>
      <w:bookmarkEnd w:id="63"/>
      <w:r>
        <w:rPr>
          <w:rFonts w:ascii="Arial" w:eastAsia="Arial" w:hAnsi="Arial" w:cs="Arial"/>
          <w:b/>
        </w:rPr>
        <w:t>§853.  Arrangements</w:t>
      </w:r>
    </w:p>
    <w:p w:rsidR="00AD0528" w:rsidP="00AD0528">
      <w:pPr>
        <w:ind w:left="360" w:firstLine="360"/>
        <w:rPr>
          <w:rFonts w:ascii="Arial" w:eastAsia="Arial" w:hAnsi="Arial" w:cs="Arial"/>
        </w:rPr>
      </w:pPr>
      <w:bookmarkStart w:id="65" w:name="_PAR__12_f184feea_370f_460f_98b2_02e3aba"/>
      <w:bookmarkEnd w:id="64"/>
      <w:r>
        <w:rPr>
          <w:rFonts w:ascii="Arial" w:eastAsia="Arial" w:hAnsi="Arial" w:cs="Arial"/>
        </w:rPr>
        <w:t>A person, partnership, union, firm or corporation involved in a labor</w:t>
      </w:r>
      <w:r>
        <w:rPr>
          <w:rFonts w:ascii="Arial" w:eastAsia="Arial" w:hAnsi="Arial" w:cs="Arial"/>
          <w:strike/>
        </w:rPr>
        <w:t>,</w:t>
      </w:r>
      <w:r>
        <w:rPr>
          <w:rFonts w:ascii="Arial" w:eastAsia="Arial" w:hAnsi="Arial" w:cs="Arial"/>
        </w:rPr>
        <w:t xml:space="preserve"> strike or lockout may not, directly or indirectly, employ in the place of an employee involved in that strike or lockout any person who customarily and repeatedly offers to accept employment in the place of employees involved in a labor strike or lockout or contract or arrange with any other person, partnership, union, agency, firm or corporation to recruit, procure, supply or refer persons for employment who customarily and repeatedly offer to accept employment in place of employees involved in a labor</w:t>
      </w:r>
      <w:r>
        <w:rPr>
          <w:rFonts w:ascii="Arial" w:eastAsia="Arial" w:hAnsi="Arial" w:cs="Arial"/>
          <w:strike/>
        </w:rPr>
        <w:t>,</w:t>
      </w:r>
      <w:r>
        <w:rPr>
          <w:rFonts w:ascii="Arial" w:eastAsia="Arial" w:hAnsi="Arial" w:cs="Arial"/>
        </w:rPr>
        <w:t xml:space="preserve"> strike or lockout.</w:t>
      </w:r>
    </w:p>
    <w:p w:rsidR="00AD0528" w:rsidP="00AD0528">
      <w:pPr>
        <w:ind w:left="360" w:firstLine="360"/>
        <w:rPr>
          <w:rFonts w:ascii="Arial" w:eastAsia="Arial" w:hAnsi="Arial" w:cs="Arial"/>
        </w:rPr>
      </w:pPr>
      <w:bookmarkStart w:id="66" w:name="_PAR__13_11505719_c2e6_402f_b5c9_09c65fd"/>
      <w:bookmarkEnd w:id="65"/>
      <w:r>
        <w:rPr>
          <w:rFonts w:ascii="Arial" w:eastAsia="Arial" w:hAnsi="Arial" w:cs="Arial"/>
          <w:b/>
          <w:sz w:val="24"/>
        </w:rPr>
        <w:t>Sec. C-13.  26 MRSA §854,</w:t>
      </w:r>
      <w:r>
        <w:rPr>
          <w:rFonts w:ascii="Arial" w:eastAsia="Arial" w:hAnsi="Arial" w:cs="Arial"/>
        </w:rPr>
        <w:t xml:space="preserve"> as corrected by RR 2023, c. 2, Pt. E, §36, is amended to read:</w:t>
      </w:r>
    </w:p>
    <w:p w:rsidR="00AD0528" w:rsidP="00AD0528">
      <w:pPr>
        <w:ind w:left="1080" w:hanging="720"/>
        <w:rPr>
          <w:rFonts w:ascii="Arial" w:eastAsia="Arial" w:hAnsi="Arial" w:cs="Arial"/>
        </w:rPr>
      </w:pPr>
      <w:bookmarkStart w:id="67" w:name="_PAR__14_e8038420_86ff_407a_a7c2_028bd30"/>
      <w:bookmarkEnd w:id="66"/>
      <w:r>
        <w:rPr>
          <w:rFonts w:ascii="Arial" w:eastAsia="Arial" w:hAnsi="Arial" w:cs="Arial"/>
          <w:b/>
        </w:rPr>
        <w:t>§854.  Offers</w:t>
      </w:r>
    </w:p>
    <w:p w:rsidR="00AD0528" w:rsidP="00AD0528">
      <w:pPr>
        <w:ind w:left="360" w:firstLine="360"/>
        <w:rPr>
          <w:rFonts w:ascii="Arial" w:eastAsia="Arial" w:hAnsi="Arial" w:cs="Arial"/>
        </w:rPr>
      </w:pPr>
      <w:bookmarkStart w:id="68" w:name="_PAR__15_3fc4adeb_3915_4f37_ae93_798e8d7"/>
      <w:bookmarkEnd w:id="67"/>
      <w:r>
        <w:rPr>
          <w:rFonts w:ascii="Arial" w:eastAsia="Arial" w:hAnsi="Arial" w:cs="Arial"/>
        </w:rPr>
        <w:t>A person who customarily and repeatedly offers to accept employment in place of employees involved in a labor</w:t>
      </w:r>
      <w:r>
        <w:rPr>
          <w:rFonts w:ascii="Arial" w:eastAsia="Arial" w:hAnsi="Arial" w:cs="Arial"/>
          <w:strike/>
        </w:rPr>
        <w:t>,</w:t>
      </w:r>
      <w:r>
        <w:rPr>
          <w:rFonts w:ascii="Arial" w:eastAsia="Arial" w:hAnsi="Arial" w:cs="Arial"/>
        </w:rPr>
        <w:t xml:space="preserve"> strike or lockout may not take or offer to take the place of employment of any employee involved in a labor</w:t>
      </w:r>
      <w:r>
        <w:rPr>
          <w:rFonts w:ascii="Arial" w:eastAsia="Arial" w:hAnsi="Arial" w:cs="Arial"/>
          <w:strike/>
        </w:rPr>
        <w:t>,</w:t>
      </w:r>
      <w:r>
        <w:rPr>
          <w:rFonts w:ascii="Arial" w:eastAsia="Arial" w:hAnsi="Arial" w:cs="Arial"/>
        </w:rPr>
        <w:t xml:space="preserve"> strike or lockout.</w:t>
      </w:r>
    </w:p>
    <w:p w:rsidR="00AD0528" w:rsidP="00AD0528">
      <w:pPr>
        <w:ind w:left="360" w:firstLine="360"/>
        <w:rPr>
          <w:rFonts w:ascii="Arial" w:eastAsia="Arial" w:hAnsi="Arial" w:cs="Arial"/>
        </w:rPr>
      </w:pPr>
      <w:bookmarkStart w:id="69" w:name="_PAGE__5_f137fcee_0174_4f43_ae9d_88dac07"/>
      <w:bookmarkStart w:id="70" w:name="_PAR__2_2902109d_7c92_463d_baf3_97481092"/>
      <w:bookmarkEnd w:id="54"/>
      <w:bookmarkEnd w:id="68"/>
      <w:r>
        <w:rPr>
          <w:rFonts w:ascii="Arial" w:eastAsia="Arial" w:hAnsi="Arial" w:cs="Arial"/>
          <w:b/>
          <w:sz w:val="24"/>
        </w:rPr>
        <w:t>Sec. C-14.  26 MRSA §855,</w:t>
      </w:r>
      <w:r>
        <w:rPr>
          <w:rFonts w:ascii="Arial" w:eastAsia="Arial" w:hAnsi="Arial" w:cs="Arial"/>
        </w:rPr>
        <w:t xml:space="preserve"> as corrected by RR 2023, c. 2, Pt. E, §37, is amended to read:</w:t>
      </w:r>
    </w:p>
    <w:p w:rsidR="00AD0528" w:rsidP="00AD0528">
      <w:pPr>
        <w:ind w:left="1080" w:hanging="720"/>
        <w:rPr>
          <w:rFonts w:ascii="Arial" w:eastAsia="Arial" w:hAnsi="Arial" w:cs="Arial"/>
        </w:rPr>
      </w:pPr>
      <w:bookmarkStart w:id="71" w:name="_PAR__3_cfe3d1c5_fa14_47b7_a900_389e5106"/>
      <w:bookmarkEnd w:id="70"/>
      <w:r>
        <w:rPr>
          <w:rFonts w:ascii="Arial" w:eastAsia="Arial" w:hAnsi="Arial" w:cs="Arial"/>
          <w:b/>
        </w:rPr>
        <w:t>§855.  Evidence</w:t>
      </w:r>
    </w:p>
    <w:p w:rsidR="00AD0528" w:rsidP="00AD0528">
      <w:pPr>
        <w:ind w:left="360" w:firstLine="360"/>
        <w:rPr>
          <w:rFonts w:ascii="Arial" w:eastAsia="Arial" w:hAnsi="Arial" w:cs="Arial"/>
        </w:rPr>
      </w:pPr>
      <w:bookmarkStart w:id="72" w:name="_PAR__4_d74c7db9_7f49_46a5_98bd_6e1935f9"/>
      <w:bookmarkEnd w:id="71"/>
      <w:r>
        <w:rPr>
          <w:rFonts w:ascii="Arial" w:eastAsia="Arial" w:hAnsi="Arial" w:cs="Arial"/>
        </w:rPr>
        <w:t>It is prima facie evidence that a person customarily and repeatedly offers to accept employment in place of employees involved in a labor</w:t>
      </w:r>
      <w:r>
        <w:rPr>
          <w:rFonts w:ascii="Arial" w:eastAsia="Arial" w:hAnsi="Arial" w:cs="Arial"/>
          <w:strike/>
        </w:rPr>
        <w:t>,</w:t>
      </w:r>
      <w:r>
        <w:rPr>
          <w:rFonts w:ascii="Arial" w:eastAsia="Arial" w:hAnsi="Arial" w:cs="Arial"/>
        </w:rPr>
        <w:t xml:space="preserve"> strike or lockout if the person has 2 times before offered to take the place of employment of persons involved in labor</w:t>
      </w:r>
      <w:r>
        <w:rPr>
          <w:rFonts w:ascii="Arial" w:eastAsia="Arial" w:hAnsi="Arial" w:cs="Arial"/>
          <w:strike/>
        </w:rPr>
        <w:t>,</w:t>
      </w:r>
      <w:r>
        <w:rPr>
          <w:rFonts w:ascii="Arial" w:eastAsia="Arial" w:hAnsi="Arial" w:cs="Arial"/>
        </w:rPr>
        <w:t xml:space="preserve"> strikes or lockouts.</w:t>
      </w:r>
    </w:p>
    <w:p w:rsidR="00AD0528" w:rsidP="00AD0528">
      <w:pPr>
        <w:ind w:left="360" w:firstLine="360"/>
        <w:rPr>
          <w:rFonts w:ascii="Arial" w:eastAsia="Arial" w:hAnsi="Arial" w:cs="Arial"/>
        </w:rPr>
      </w:pPr>
      <w:bookmarkStart w:id="73" w:name="_PAR__5_1141cd70_ddff_4bfc_b5ec_6746dc12"/>
      <w:bookmarkEnd w:id="72"/>
      <w:r>
        <w:rPr>
          <w:rFonts w:ascii="Arial" w:eastAsia="Arial" w:hAnsi="Arial" w:cs="Arial"/>
          <w:b/>
          <w:sz w:val="24"/>
        </w:rPr>
        <w:t>Sec. C-15.  33 MRSA §1603-117, first ¶,</w:t>
      </w:r>
      <w:r>
        <w:rPr>
          <w:rFonts w:ascii="Arial" w:eastAsia="Arial" w:hAnsi="Arial" w:cs="Arial"/>
        </w:rPr>
        <w:t xml:space="preserve"> as enacted by PL 1981, c. 699, is amended to read:</w:t>
      </w:r>
    </w:p>
    <w:p w:rsidR="00AD0528" w:rsidP="00AD0528">
      <w:pPr>
        <w:ind w:left="360" w:firstLine="360"/>
        <w:rPr>
          <w:rFonts w:ascii="Arial" w:eastAsia="Arial" w:hAnsi="Arial" w:cs="Arial"/>
        </w:rPr>
      </w:pPr>
      <w:bookmarkStart w:id="74" w:name="_PAR__6_2c347592_7da6_4a77_9607_230d49f0"/>
      <w:bookmarkEnd w:id="73"/>
      <w:r>
        <w:rPr>
          <w:rFonts w:ascii="Arial" w:eastAsia="Arial" w:hAnsi="Arial" w:cs="Arial"/>
        </w:rPr>
        <w:t xml:space="preserve">(a)  A judgment for money against the association, if a lien order is filed with the </w:t>
      </w:r>
      <w:r>
        <w:rPr>
          <w:rFonts w:ascii="Arial" w:eastAsia="Arial" w:hAnsi="Arial" w:cs="Arial"/>
          <w:strike/>
        </w:rPr>
        <w:t>Register of Deeds</w:t>
      </w:r>
      <w:r>
        <w:rPr>
          <w:rFonts w:ascii="Arial" w:eastAsia="Arial" w:hAnsi="Arial" w:cs="Arial"/>
        </w:rPr>
        <w:t xml:space="preserve"> </w:t>
      </w:r>
      <w:r>
        <w:rPr>
          <w:rFonts w:ascii="Arial" w:eastAsia="Arial" w:hAnsi="Arial" w:cs="Arial"/>
          <w:u w:val="single"/>
        </w:rPr>
        <w:t>register of deeds</w:t>
      </w:r>
      <w:r>
        <w:rPr>
          <w:rFonts w:ascii="Arial" w:eastAsia="Arial" w:hAnsi="Arial" w:cs="Arial"/>
        </w:rPr>
        <w:t xml:space="preserve"> of the county where the condominium is located, as provided in Title 14, section </w:t>
      </w:r>
      <w:r>
        <w:rPr>
          <w:rFonts w:ascii="Arial" w:eastAsia="Arial" w:hAnsi="Arial" w:cs="Arial"/>
          <w:strike/>
        </w:rPr>
        <w:t>3132, as it or its equivalent may be amended or modified from time to time</w:t>
      </w:r>
      <w:r>
        <w:rPr>
          <w:rFonts w:ascii="Arial" w:eastAsia="Arial" w:hAnsi="Arial" w:cs="Arial"/>
        </w:rPr>
        <w:t xml:space="preserve"> </w:t>
      </w:r>
      <w:r>
        <w:rPr>
          <w:rFonts w:ascii="Arial" w:eastAsia="Arial" w:hAnsi="Arial" w:cs="Arial"/>
          <w:u w:val="single"/>
        </w:rPr>
        <w:t>3131, subsection 9, paragraph B</w:t>
      </w:r>
      <w:r>
        <w:rPr>
          <w:rFonts w:ascii="Arial" w:eastAsia="Arial" w:hAnsi="Arial" w:cs="Arial"/>
        </w:rPr>
        <w:t xml:space="preserve">, is not a lien on the common elements, but is a lien in favor of the judgment lienholder against all of the units in the condominium at the time the judgment was entered.  </w:t>
      </w:r>
      <w:r>
        <w:rPr>
          <w:rFonts w:ascii="Arial" w:eastAsia="Arial" w:hAnsi="Arial" w:cs="Arial"/>
          <w:strike/>
        </w:rPr>
        <w:t>No other</w:t>
      </w:r>
      <w:r>
        <w:rPr>
          <w:rFonts w:ascii="Arial" w:eastAsia="Arial" w:hAnsi="Arial" w:cs="Arial"/>
        </w:rPr>
        <w:t xml:space="preserve"> </w:t>
      </w:r>
      <w:r>
        <w:rPr>
          <w:rFonts w:ascii="Arial" w:eastAsia="Arial" w:hAnsi="Arial" w:cs="Arial"/>
          <w:u w:val="single"/>
        </w:rPr>
        <w:t>Other</w:t>
      </w:r>
      <w:r>
        <w:rPr>
          <w:rFonts w:ascii="Arial" w:eastAsia="Arial" w:hAnsi="Arial" w:cs="Arial"/>
        </w:rPr>
        <w:t xml:space="preserve"> property of a unit owner is </w:t>
      </w:r>
      <w:r>
        <w:rPr>
          <w:rFonts w:ascii="Arial" w:eastAsia="Arial" w:hAnsi="Arial" w:cs="Arial"/>
          <w:u w:val="single"/>
        </w:rPr>
        <w:t>not</w:t>
      </w:r>
      <w:r>
        <w:rPr>
          <w:rFonts w:ascii="Arial" w:eastAsia="Arial" w:hAnsi="Arial" w:cs="Arial"/>
        </w:rPr>
        <w:t xml:space="preserve"> subject to the claims of creditors of the association.</w:t>
      </w:r>
    </w:p>
    <w:p w:rsidR="00AD0528" w:rsidP="00AD0528">
      <w:pPr>
        <w:ind w:left="360" w:firstLine="360"/>
        <w:rPr>
          <w:rFonts w:ascii="Arial" w:eastAsia="Arial" w:hAnsi="Arial" w:cs="Arial"/>
        </w:rPr>
      </w:pPr>
      <w:bookmarkStart w:id="75" w:name="_PAR__7_32993dfa_cf13_4f58_8b51_cf9933f7"/>
      <w:bookmarkEnd w:id="74"/>
      <w:r>
        <w:rPr>
          <w:rFonts w:ascii="Arial" w:eastAsia="Arial" w:hAnsi="Arial" w:cs="Arial"/>
          <w:b/>
          <w:sz w:val="24"/>
        </w:rPr>
        <w:t>Sec. C-16.  34-B MRSA §3613,</w:t>
      </w:r>
      <w:r>
        <w:rPr>
          <w:rFonts w:ascii="Arial" w:eastAsia="Arial" w:hAnsi="Arial" w:cs="Arial"/>
        </w:rPr>
        <w:t xml:space="preserve"> as repealed and replaced by PL 2025, c. 388, Pt. YY, §1 and repealed by c. 390, Pt. A, §55, is repealed and the following enacted in its place:</w:t>
      </w:r>
    </w:p>
    <w:p w:rsidR="00AD0528" w:rsidP="00AD0528">
      <w:pPr>
        <w:ind w:left="1080" w:hanging="720"/>
        <w:rPr>
          <w:rFonts w:ascii="Arial" w:eastAsia="Arial" w:hAnsi="Arial" w:cs="Arial"/>
        </w:rPr>
      </w:pPr>
      <w:bookmarkStart w:id="76" w:name="_PAR__8_f25352f6_fd67_48b0_bd7d_118fb1bc"/>
      <w:bookmarkEnd w:id="75"/>
      <w:r>
        <w:rPr>
          <w:rFonts w:ascii="Arial" w:eastAsia="Arial" w:hAnsi="Arial" w:cs="Arial"/>
          <w:b/>
          <w:u w:val="single"/>
        </w:rPr>
        <w:t>§3613.  Crisis receiving centers</w:t>
      </w:r>
    </w:p>
    <w:p w:rsidR="00AD0528" w:rsidP="00AD0528">
      <w:pPr>
        <w:ind w:left="360" w:firstLine="360"/>
        <w:rPr>
          <w:rFonts w:ascii="Arial" w:eastAsia="Arial" w:hAnsi="Arial" w:cs="Arial"/>
        </w:rPr>
      </w:pPr>
      <w:bookmarkStart w:id="77" w:name="_PAR__9_2e6b5e87_bf8a_4ca9_8047_fb7e5cd5"/>
      <w:bookmarkEnd w:id="76"/>
      <w:r>
        <w:rPr>
          <w:rFonts w:ascii="Arial" w:eastAsia="Arial" w:hAnsi="Arial" w:cs="Arial"/>
          <w:b/>
          <w:u w:val="single"/>
        </w:rPr>
        <w:t xml:space="preserve">1.  Definitions. </w:t>
      </w:r>
      <w:r>
        <w:rPr>
          <w:rFonts w:ascii="Arial" w:eastAsia="Arial" w:hAnsi="Arial" w:cs="Arial"/>
          <w:u w:val="single"/>
        </w:rPr>
        <w:t xml:space="preserve"> As used in this section, unless the context otherwise indicates, "crisis receiving center" means a center that provides immediate and short-term walk-in access to an array of both clinical and nonclinical mental health and substance use disorder crisis stabilization services to all individuals seeking care regardless of acuity or insurance coverage and within bounds of licensing.</w:t>
      </w:r>
    </w:p>
    <w:p w:rsidR="00AD0528" w:rsidP="00AD0528">
      <w:pPr>
        <w:ind w:left="360" w:firstLine="360"/>
        <w:rPr>
          <w:rFonts w:ascii="Arial" w:eastAsia="Arial" w:hAnsi="Arial" w:cs="Arial"/>
        </w:rPr>
      </w:pPr>
      <w:bookmarkStart w:id="78" w:name="_PAR__10_8bec4898_44fa_473e_b988_01f47f3"/>
      <w:bookmarkEnd w:id="77"/>
      <w:r>
        <w:rPr>
          <w:rFonts w:ascii="Arial" w:eastAsia="Arial" w:hAnsi="Arial" w:cs="Arial"/>
          <w:b/>
          <w:u w:val="single"/>
        </w:rPr>
        <w:t xml:space="preserve">2.  Department to develop plan and serve as coordinator. </w:t>
      </w:r>
      <w:r>
        <w:rPr>
          <w:rFonts w:ascii="Arial" w:eastAsia="Arial" w:hAnsi="Arial" w:cs="Arial"/>
          <w:u w:val="single"/>
        </w:rPr>
        <w:t xml:space="preserve"> The department shall develop a plan for a network of community-based crisis receiving centers across the State to support both clinical and nonclinical mental health and substance use disorder crisis stabilization services.  The department shall also coordinate meetings, technical assistance and training and provide other assistance to help create, maintain and, as necessary, expand the network.</w:t>
      </w:r>
    </w:p>
    <w:p w:rsidR="00AD0528" w:rsidP="00AD0528">
      <w:pPr>
        <w:ind w:left="360" w:firstLine="360"/>
        <w:rPr>
          <w:rFonts w:ascii="Arial" w:eastAsia="Arial" w:hAnsi="Arial" w:cs="Arial"/>
        </w:rPr>
      </w:pPr>
      <w:bookmarkStart w:id="79" w:name="_PAR__11_372411ce_424b_4247_a3ca_9610bba"/>
      <w:bookmarkEnd w:id="78"/>
      <w:r>
        <w:rPr>
          <w:rFonts w:ascii="Arial" w:eastAsia="Arial" w:hAnsi="Arial" w:cs="Arial"/>
          <w:b/>
          <w:u w:val="single"/>
        </w:rPr>
        <w:t xml:space="preserve">3.  Guidelines. </w:t>
      </w:r>
      <w:r>
        <w:rPr>
          <w:rFonts w:ascii="Arial" w:eastAsia="Arial" w:hAnsi="Arial" w:cs="Arial"/>
          <w:u w:val="single"/>
        </w:rPr>
        <w:t xml:space="preserve"> In carrying out its duties under subsection 2, the department shall:</w:t>
      </w:r>
    </w:p>
    <w:p w:rsidR="00AD0528" w:rsidP="00AD0528">
      <w:pPr>
        <w:ind w:left="720"/>
        <w:rPr>
          <w:rFonts w:ascii="Arial" w:eastAsia="Arial" w:hAnsi="Arial" w:cs="Arial"/>
        </w:rPr>
      </w:pPr>
      <w:bookmarkStart w:id="80" w:name="_PAR__12_9e2deeff_0190_4386_b1a7_4bd82c4"/>
      <w:bookmarkEnd w:id="79"/>
      <w:r>
        <w:rPr>
          <w:rFonts w:ascii="Arial" w:eastAsia="Arial" w:hAnsi="Arial" w:cs="Arial"/>
          <w:u w:val="single"/>
        </w:rPr>
        <w:t>A.  Consult with law enforcement agencies, municipalities, public health experts, behavioral health care providers, other states and others as appropriate;</w:t>
      </w:r>
    </w:p>
    <w:p w:rsidR="00AD0528" w:rsidP="00AD0528">
      <w:pPr>
        <w:ind w:left="720"/>
        <w:rPr>
          <w:rFonts w:ascii="Arial" w:eastAsia="Arial" w:hAnsi="Arial" w:cs="Arial"/>
        </w:rPr>
      </w:pPr>
      <w:bookmarkStart w:id="81" w:name="_PAR__13_997b79e9_a838_4c22_9fb8_d3abe95"/>
      <w:bookmarkEnd w:id="80"/>
      <w:r>
        <w:rPr>
          <w:rFonts w:ascii="Arial" w:eastAsia="Arial" w:hAnsi="Arial" w:cs="Arial"/>
          <w:u w:val="single"/>
        </w:rPr>
        <w:t>B.  Assess geographical locations for maximization of community impact;</w:t>
      </w:r>
    </w:p>
    <w:p w:rsidR="00AD0528" w:rsidP="00AD0528">
      <w:pPr>
        <w:ind w:left="720"/>
        <w:rPr>
          <w:rFonts w:ascii="Arial" w:eastAsia="Arial" w:hAnsi="Arial" w:cs="Arial"/>
        </w:rPr>
      </w:pPr>
      <w:bookmarkStart w:id="82" w:name="_PAR__14_9b431a8b_3ed3_4fd6_81c2_f1f76a4"/>
      <w:bookmarkEnd w:id="81"/>
      <w:r>
        <w:rPr>
          <w:rFonts w:ascii="Arial" w:eastAsia="Arial" w:hAnsi="Arial" w:cs="Arial"/>
          <w:u w:val="single"/>
        </w:rPr>
        <w:t>C.  Provide technical assistance to persons and entities across the State and providers interested in joining the network;</w:t>
      </w:r>
    </w:p>
    <w:p w:rsidR="00AD0528" w:rsidP="00AD0528">
      <w:pPr>
        <w:ind w:left="720"/>
        <w:rPr>
          <w:rFonts w:ascii="Arial" w:eastAsia="Arial" w:hAnsi="Arial" w:cs="Arial"/>
        </w:rPr>
      </w:pPr>
      <w:bookmarkStart w:id="83" w:name="_PAR__15_4ac3f01b_187e_42d3_8017_51618bb"/>
      <w:bookmarkEnd w:id="82"/>
      <w:r>
        <w:rPr>
          <w:rFonts w:ascii="Arial" w:eastAsia="Arial" w:hAnsi="Arial" w:cs="Arial"/>
          <w:u w:val="single"/>
        </w:rPr>
        <w:t>D.  Coordinate regular meetings with crisis receiving centers and provide technical assistance to crisis receiving centers; and</w:t>
      </w:r>
    </w:p>
    <w:p w:rsidR="00AD0528" w:rsidP="00AD0528">
      <w:pPr>
        <w:ind w:left="720"/>
        <w:rPr>
          <w:rFonts w:ascii="Arial" w:eastAsia="Arial" w:hAnsi="Arial" w:cs="Arial"/>
        </w:rPr>
      </w:pPr>
      <w:bookmarkStart w:id="84" w:name="_PAR__16_6036bcdb_19c7_452f_819f_44b1b9f"/>
      <w:bookmarkEnd w:id="83"/>
      <w:r>
        <w:rPr>
          <w:rFonts w:ascii="Arial" w:eastAsia="Arial" w:hAnsi="Arial" w:cs="Arial"/>
          <w:u w:val="single"/>
        </w:rPr>
        <w:t>E.  Engage in continual process improvement and planning updates.</w:t>
      </w:r>
    </w:p>
    <w:p w:rsidR="00AD0528" w:rsidP="00AD0528">
      <w:pPr>
        <w:ind w:left="360" w:firstLine="360"/>
        <w:rPr>
          <w:rFonts w:ascii="Arial" w:eastAsia="Arial" w:hAnsi="Arial" w:cs="Arial"/>
        </w:rPr>
      </w:pPr>
      <w:bookmarkStart w:id="85" w:name="_PAGE__6_443ba6e0_8b3d_4f9c_a9ce_ae21d10"/>
      <w:bookmarkStart w:id="86" w:name="_PAR__2_ac5742a0_6e95_48cf_9af7_1564aa19"/>
      <w:bookmarkEnd w:id="69"/>
      <w:bookmarkEnd w:id="84"/>
      <w:r>
        <w:rPr>
          <w:rFonts w:ascii="Arial" w:eastAsia="Arial" w:hAnsi="Arial" w:cs="Arial"/>
          <w:b/>
          <w:sz w:val="24"/>
        </w:rPr>
        <w:t>Sec. C-17.  34-B MRSA §3614,</w:t>
      </w:r>
      <w:r>
        <w:rPr>
          <w:rFonts w:ascii="Arial" w:eastAsia="Arial" w:hAnsi="Arial" w:cs="Arial"/>
        </w:rPr>
        <w:t xml:space="preserve"> as enacted by PL 2023, c. 675, §9 and reallocated by PL 2025, c. 390, Pt. A, §56, is repealed.</w:t>
      </w:r>
    </w:p>
    <w:p w:rsidR="00AD0528" w:rsidP="00AD0528">
      <w:pPr>
        <w:ind w:left="360" w:firstLine="360"/>
        <w:rPr>
          <w:rFonts w:ascii="Arial" w:eastAsia="Arial" w:hAnsi="Arial" w:cs="Arial"/>
        </w:rPr>
      </w:pPr>
      <w:bookmarkStart w:id="87" w:name="_PAR__3_5fdde08f_38ef_4974_87b5_33960def"/>
      <w:bookmarkEnd w:id="86"/>
      <w:r>
        <w:rPr>
          <w:rFonts w:ascii="Arial" w:eastAsia="Arial" w:hAnsi="Arial" w:cs="Arial"/>
          <w:b/>
          <w:sz w:val="24"/>
        </w:rPr>
        <w:t>Sec. C-18.  38 MRSA §1303-C, sub-§40,</w:t>
      </w:r>
      <w:r>
        <w:rPr>
          <w:rFonts w:ascii="Arial" w:eastAsia="Arial" w:hAnsi="Arial" w:cs="Arial"/>
        </w:rPr>
        <w:t xml:space="preserve"> as amended by PL 1989, c. 869, Pt. A, §5 and affected by §21, is further amended to read:</w:t>
      </w:r>
    </w:p>
    <w:p w:rsidR="00AD0528" w:rsidP="00AD0528">
      <w:pPr>
        <w:ind w:left="360" w:firstLine="360"/>
        <w:rPr>
          <w:rFonts w:ascii="Arial" w:eastAsia="Arial" w:hAnsi="Arial" w:cs="Arial"/>
        </w:rPr>
      </w:pPr>
      <w:bookmarkStart w:id="88" w:name="_PAR__4_1c4c7854_8228_43b3_b8c4_0f22b6ce"/>
      <w:bookmarkEnd w:id="87"/>
      <w:r>
        <w:rPr>
          <w:rFonts w:ascii="Arial" w:eastAsia="Arial" w:hAnsi="Arial" w:cs="Arial"/>
          <w:b/>
        </w:rPr>
        <w:t xml:space="preserve">40.  Waste facility. </w:t>
      </w:r>
      <w:r>
        <w:rPr>
          <w:rFonts w:ascii="Arial" w:eastAsia="Arial" w:hAnsi="Arial" w:cs="Arial"/>
        </w:rPr>
        <w:t xml:space="preserve"> "Waste facility" means any land area, structure, location, equipment or combination of them, including dumps, used for handling hazardous, biomedical or solid waste, waste oil, sludge or septage. A land area or structure does not become a waste facility solely because:</w:t>
      </w:r>
    </w:p>
    <w:p w:rsidR="00AD0528" w:rsidP="00AD0528">
      <w:pPr>
        <w:ind w:left="720"/>
        <w:rPr>
          <w:rFonts w:ascii="Arial" w:eastAsia="Arial" w:hAnsi="Arial" w:cs="Arial"/>
        </w:rPr>
      </w:pPr>
      <w:bookmarkStart w:id="89" w:name="_PAR__5_cea4ace4_e1ed_42e1_99dd_9380021e"/>
      <w:bookmarkEnd w:id="88"/>
      <w:r>
        <w:rPr>
          <w:rFonts w:ascii="Arial" w:eastAsia="Arial" w:hAnsi="Arial" w:cs="Arial"/>
        </w:rPr>
        <w:t>A.  It is used by its owner for disposing of septage from the owner's residence;</w:t>
      </w:r>
    </w:p>
    <w:p w:rsidR="00AD0528" w:rsidP="00AD0528">
      <w:pPr>
        <w:ind w:left="720"/>
        <w:rPr>
          <w:rFonts w:ascii="Arial" w:eastAsia="Arial" w:hAnsi="Arial" w:cs="Arial"/>
        </w:rPr>
      </w:pPr>
      <w:bookmarkStart w:id="90" w:name="_PAR__6_37c5041f_27d5_47aa_a64b_d7604ee9"/>
      <w:bookmarkEnd w:id="89"/>
      <w:r>
        <w:rPr>
          <w:rFonts w:ascii="Arial" w:eastAsia="Arial" w:hAnsi="Arial" w:cs="Arial"/>
        </w:rPr>
        <w:t>B.  It is used to store for 90 days or less hazardous wastes generated on the same premises;</w:t>
      </w:r>
    </w:p>
    <w:p w:rsidR="00AD0528" w:rsidP="00AD0528">
      <w:pPr>
        <w:ind w:left="720"/>
        <w:rPr>
          <w:rFonts w:ascii="Arial" w:eastAsia="Arial" w:hAnsi="Arial" w:cs="Arial"/>
        </w:rPr>
      </w:pPr>
      <w:bookmarkStart w:id="91" w:name="_PAR__7_ca7089c1_cfdf_4bf0_869b_94adc74b"/>
      <w:bookmarkEnd w:id="90"/>
      <w:r>
        <w:rPr>
          <w:rFonts w:ascii="Arial" w:eastAsia="Arial" w:hAnsi="Arial" w:cs="Arial"/>
        </w:rPr>
        <w:t xml:space="preserve">C.  It is used by individual homeowners or lessees to open burn leaves, brush, deadwood and tree cuttings accrued from normal maintenance of their residential property, when such burning is permitted under </w:t>
      </w:r>
      <w:r>
        <w:rPr>
          <w:rFonts w:ascii="Arial" w:eastAsia="Arial" w:hAnsi="Arial" w:cs="Arial"/>
          <w:u w:val="single"/>
        </w:rPr>
        <w:t>Title 12,</w:t>
      </w:r>
      <w:r>
        <w:rPr>
          <w:rFonts w:ascii="Arial" w:eastAsia="Arial" w:hAnsi="Arial" w:cs="Arial"/>
        </w:rPr>
        <w:t xml:space="preserve"> section </w:t>
      </w:r>
      <w:r>
        <w:rPr>
          <w:rFonts w:ascii="Arial" w:eastAsia="Arial" w:hAnsi="Arial" w:cs="Arial"/>
          <w:strike/>
        </w:rPr>
        <w:t>599</w:t>
      </w:r>
      <w:r>
        <w:rPr>
          <w:rFonts w:ascii="Arial" w:eastAsia="Arial" w:hAnsi="Arial" w:cs="Arial"/>
        </w:rPr>
        <w:t xml:space="preserve"> </w:t>
      </w:r>
      <w:r>
        <w:rPr>
          <w:rFonts w:ascii="Arial" w:eastAsia="Arial" w:hAnsi="Arial" w:cs="Arial"/>
          <w:u w:val="single"/>
        </w:rPr>
        <w:t>9325</w:t>
      </w:r>
      <w:r>
        <w:rPr>
          <w:rFonts w:ascii="Arial" w:eastAsia="Arial" w:hAnsi="Arial" w:cs="Arial"/>
        </w:rPr>
        <w:t xml:space="preserve">, subsection </w:t>
      </w:r>
      <w:r>
        <w:rPr>
          <w:rFonts w:ascii="Arial" w:eastAsia="Arial" w:hAnsi="Arial" w:cs="Arial"/>
          <w:strike/>
        </w:rPr>
        <w:t>3</w:t>
      </w:r>
      <w:r>
        <w:rPr>
          <w:rFonts w:ascii="Arial" w:eastAsia="Arial" w:hAnsi="Arial" w:cs="Arial"/>
        </w:rPr>
        <w:t xml:space="preserve"> </w:t>
      </w:r>
      <w:r>
        <w:rPr>
          <w:rFonts w:ascii="Arial" w:eastAsia="Arial" w:hAnsi="Arial" w:cs="Arial"/>
          <w:u w:val="single"/>
        </w:rPr>
        <w:t>1, paragraph F</w:t>
      </w:r>
      <w:r>
        <w:rPr>
          <w:rFonts w:ascii="Arial" w:eastAsia="Arial" w:hAnsi="Arial" w:cs="Arial"/>
        </w:rPr>
        <w:t>; or</w:t>
      </w:r>
    </w:p>
    <w:p w:rsidR="00AD0528" w:rsidP="00AD0528">
      <w:pPr>
        <w:ind w:left="720"/>
        <w:rPr>
          <w:rFonts w:ascii="Arial" w:eastAsia="Arial" w:hAnsi="Arial" w:cs="Arial"/>
        </w:rPr>
      </w:pPr>
      <w:bookmarkStart w:id="92" w:name="_PAR__8_3d5de375_9aa2_4568_8ba8_2b439c96"/>
      <w:bookmarkEnd w:id="91"/>
      <w:r>
        <w:rPr>
          <w:rFonts w:ascii="Arial" w:eastAsia="Arial" w:hAnsi="Arial" w:cs="Arial"/>
          <w:strike/>
        </w:rPr>
        <w:t>D.  It is used by its residential owner to burn highly combustible domestic, household trash such as paper, cardboard cartons or wood boxes, when such burning is permitted under section 599, subsection 3.</w:t>
      </w:r>
    </w:p>
    <w:p w:rsidR="00AD0528" w:rsidP="00AD0528">
      <w:pPr>
        <w:ind w:left="720"/>
        <w:rPr>
          <w:rFonts w:ascii="Arial" w:eastAsia="Arial" w:hAnsi="Arial" w:cs="Arial"/>
        </w:rPr>
      </w:pPr>
      <w:bookmarkStart w:id="93" w:name="_PAR__9_08d30470_5f90_40fc_b278_3c7324b9"/>
      <w:bookmarkEnd w:id="92"/>
      <w:r>
        <w:rPr>
          <w:rFonts w:ascii="Arial" w:eastAsia="Arial" w:hAnsi="Arial" w:cs="Arial"/>
          <w:u w:val="single"/>
        </w:rPr>
        <w:t>E.  It is used by its residential owner to engage in out-of-door burning of wood wastes as defined in Title 12, section 9324, subsection 7-A and painted or unpainted wood from construction and demolition debris under Title 12, section 9325, subsection 1, paragraph E.</w:t>
      </w:r>
      <w:r>
        <w:rPr>
          <w:rFonts w:ascii="Arial" w:eastAsia="Arial" w:hAnsi="Arial" w:cs="Arial"/>
        </w:rPr>
        <w:t>'</w:t>
      </w:r>
    </w:p>
    <w:p w:rsidR="00AD0528" w:rsidP="00AD0528">
      <w:pPr>
        <w:ind w:left="360" w:firstLine="360"/>
        <w:rPr>
          <w:rFonts w:ascii="Arial" w:eastAsia="Arial" w:hAnsi="Arial" w:cs="Arial"/>
        </w:rPr>
      </w:pPr>
      <w:bookmarkStart w:id="94" w:name="_INSTRUCTION__5bafe4f1_4ec8_4ff2_b7ae_aa"/>
      <w:bookmarkStart w:id="95" w:name="_PAR__10_2abaad57_2629_48a8_bf4c_5f7ac18"/>
      <w:bookmarkEnd w:id="19"/>
      <w:bookmarkEnd w:id="93"/>
      <w:r>
        <w:rPr>
          <w:rFonts w:ascii="Arial" w:eastAsia="Arial" w:hAnsi="Arial" w:cs="Arial"/>
        </w:rPr>
        <w:t>Amend the bill by relettering or renumbering any nonconsecutive Part letter or section number to read consecutively.</w:t>
      </w:r>
    </w:p>
    <w:p w:rsidR="00AD0528" w:rsidP="00AD0528">
      <w:pPr>
        <w:keepNext/>
        <w:spacing w:before="240"/>
        <w:ind w:left="360"/>
        <w:jc w:val="center"/>
        <w:rPr>
          <w:rFonts w:ascii="Arial" w:eastAsia="Arial" w:hAnsi="Arial" w:cs="Arial"/>
        </w:rPr>
      </w:pPr>
      <w:bookmarkStart w:id="96" w:name="_SUMMARY__559ebb3a_9c94_4728_83d4_b451d9"/>
      <w:bookmarkStart w:id="97" w:name="_PAR__11_601217cd_f53a_4220_b914_a0255fb"/>
      <w:bookmarkEnd w:id="94"/>
      <w:bookmarkEnd w:id="95"/>
      <w:r>
        <w:rPr>
          <w:rFonts w:ascii="Arial" w:eastAsia="Arial" w:hAnsi="Arial" w:cs="Arial"/>
          <w:b/>
          <w:sz w:val="24"/>
        </w:rPr>
        <w:t>SUMMARY</w:t>
      </w:r>
    </w:p>
    <w:p w:rsidR="00AD0528" w:rsidP="00AD0528">
      <w:pPr>
        <w:ind w:left="360" w:firstLine="360"/>
        <w:rPr>
          <w:rFonts w:ascii="Arial" w:eastAsia="Arial" w:hAnsi="Arial" w:cs="Arial"/>
        </w:rPr>
      </w:pPr>
      <w:bookmarkStart w:id="98" w:name="_PAR__12_797160b3_d067_45c7_9256_34913a6"/>
      <w:bookmarkEnd w:id="97"/>
      <w:r>
        <w:rPr>
          <w:rFonts w:ascii="Arial" w:eastAsia="Arial" w:hAnsi="Arial" w:cs="Arial"/>
        </w:rPr>
        <w:t>This amendment removes sections 31 and 38 from Part A of the bill.  It also amends Part A, sections 3 and 4 of the bill by adjusting cross-references to include all of the provisions within Title 5, chapter 71 of the Maine Revised Statutes that establish major policy-influencing positions.</w:t>
      </w:r>
    </w:p>
    <w:p w:rsidR="00AD0528" w:rsidP="00AD0528">
      <w:pPr>
        <w:ind w:left="360" w:firstLine="360"/>
        <w:rPr>
          <w:rFonts w:ascii="Arial" w:eastAsia="Arial" w:hAnsi="Arial" w:cs="Arial"/>
        </w:rPr>
      </w:pPr>
      <w:bookmarkStart w:id="99" w:name="_PAR__13_1dd52630_0976_4463_939e_6fb7dea"/>
      <w:bookmarkEnd w:id="98"/>
      <w:r>
        <w:rPr>
          <w:rFonts w:ascii="Arial" w:eastAsia="Arial" w:hAnsi="Arial" w:cs="Arial"/>
        </w:rPr>
        <w:t>The amendment adds Part B, which amends Title 5, section 3233, a provision of law enacted in Public Law 2025, chapter 388, Part D to replace Title 30-A, section 4347-A, to incorporate several changes that were made to Title 30-A, section 4347-A in Public Law 2025, chapter 393.</w:t>
      </w:r>
    </w:p>
    <w:p w:rsidR="00AD0528" w:rsidP="00AD0528">
      <w:pPr>
        <w:ind w:left="360" w:firstLine="360"/>
        <w:rPr>
          <w:rFonts w:ascii="Arial" w:eastAsia="Arial" w:hAnsi="Arial" w:cs="Arial"/>
        </w:rPr>
      </w:pPr>
      <w:bookmarkStart w:id="100" w:name="_PAR__14_34070e40_ccf9_41e4_9c45_693ef27"/>
      <w:bookmarkEnd w:id="99"/>
      <w:r>
        <w:rPr>
          <w:rFonts w:ascii="Arial" w:eastAsia="Arial" w:hAnsi="Arial" w:cs="Arial"/>
        </w:rPr>
        <w:t>The amendment also adds Part C, which does the following.</w:t>
      </w:r>
    </w:p>
    <w:p w:rsidR="00AD0528" w:rsidP="00AD0528">
      <w:pPr>
        <w:ind w:left="360" w:firstLine="360"/>
        <w:rPr>
          <w:rFonts w:ascii="Arial" w:eastAsia="Arial" w:hAnsi="Arial" w:cs="Arial"/>
        </w:rPr>
      </w:pPr>
      <w:bookmarkStart w:id="101" w:name="_PAR__15_3ff2c78b_3fe6_4b52_94dc_30b3289"/>
      <w:bookmarkEnd w:id="100"/>
      <w:r>
        <w:rPr>
          <w:rFonts w:ascii="Arial" w:eastAsia="Arial" w:hAnsi="Arial" w:cs="Arial"/>
        </w:rPr>
        <w:t>1. It corrects headnotes.</w:t>
      </w:r>
    </w:p>
    <w:p w:rsidR="00AD0528" w:rsidP="00AD0528">
      <w:pPr>
        <w:ind w:left="360" w:firstLine="360"/>
        <w:rPr>
          <w:rFonts w:ascii="Arial" w:eastAsia="Arial" w:hAnsi="Arial" w:cs="Arial"/>
        </w:rPr>
      </w:pPr>
      <w:bookmarkStart w:id="102" w:name="_PAR__16_7778a8ae_d38d_4d6b_95e1_0661795"/>
      <w:bookmarkEnd w:id="101"/>
      <w:r>
        <w:rPr>
          <w:rFonts w:ascii="Arial" w:eastAsia="Arial" w:hAnsi="Arial" w:cs="Arial"/>
        </w:rPr>
        <w:t>2. It corrects cross-references and makes grammatical changes and technical corrections.</w:t>
      </w:r>
    </w:p>
    <w:p w:rsidR="00AD0528" w:rsidP="00AD0528">
      <w:pPr>
        <w:ind w:left="360" w:firstLine="360"/>
        <w:rPr>
          <w:rFonts w:ascii="Arial" w:eastAsia="Arial" w:hAnsi="Arial" w:cs="Arial"/>
        </w:rPr>
      </w:pPr>
      <w:bookmarkStart w:id="103" w:name="_PAR__17_06a10836_15f7_4674_8b05_c3bce11"/>
      <w:bookmarkEnd w:id="102"/>
      <w:r>
        <w:rPr>
          <w:rFonts w:ascii="Arial" w:eastAsia="Arial" w:hAnsi="Arial" w:cs="Arial"/>
        </w:rPr>
        <w:t>3. It repeals obsolete language.</w:t>
      </w:r>
    </w:p>
    <w:p w:rsidR="00AD0528" w:rsidP="00AD0528">
      <w:pPr>
        <w:ind w:left="360" w:firstLine="360"/>
        <w:rPr>
          <w:rFonts w:ascii="Arial" w:eastAsia="Arial" w:hAnsi="Arial" w:cs="Arial"/>
        </w:rPr>
      </w:pPr>
      <w:bookmarkStart w:id="104" w:name="_PAR__18_c8c0aecc_f075_4585_b341_c041cab"/>
      <w:bookmarkEnd w:id="103"/>
      <w:r>
        <w:rPr>
          <w:rFonts w:ascii="Arial" w:eastAsia="Arial" w:hAnsi="Arial" w:cs="Arial"/>
        </w:rPr>
        <w:t>4. It removes a cross-reference that is unnecessary and that creates a conflict with another provision.</w:t>
      </w:r>
    </w:p>
    <w:p w:rsidR="00AD0528" w:rsidP="00AD0528">
      <w:pPr>
        <w:ind w:left="360" w:firstLine="360"/>
        <w:rPr>
          <w:rFonts w:ascii="Arial" w:eastAsia="Arial" w:hAnsi="Arial" w:cs="Arial"/>
        </w:rPr>
      </w:pPr>
      <w:bookmarkStart w:id="105" w:name="_PAGE__7_4a4c8d4e_ea67_4230_a757_e4d2d84"/>
      <w:bookmarkStart w:id="106" w:name="_PAR__2_544fa212_023b_4570_ab93_48604884"/>
      <w:bookmarkEnd w:id="85"/>
      <w:bookmarkEnd w:id="104"/>
      <w:r>
        <w:rPr>
          <w:rFonts w:ascii="Arial" w:eastAsia="Arial" w:hAnsi="Arial" w:cs="Arial"/>
        </w:rPr>
        <w:t>5. It corrects the same clerical error in several sections of law.</w:t>
      </w:r>
    </w:p>
    <w:p w:rsidR="00AD0528" w:rsidP="00AD0528">
      <w:pPr>
        <w:ind w:left="360" w:firstLine="360"/>
        <w:rPr>
          <w:rFonts w:ascii="Arial" w:eastAsia="Arial" w:hAnsi="Arial" w:cs="Arial"/>
        </w:rPr>
      </w:pPr>
      <w:bookmarkStart w:id="107" w:name="_PAR__3_f9979f4b_a8b7_43fb_81b3_74f2df14"/>
      <w:bookmarkEnd w:id="106"/>
      <w:r>
        <w:rPr>
          <w:rFonts w:ascii="Arial" w:eastAsia="Arial" w:hAnsi="Arial" w:cs="Arial"/>
        </w:rPr>
        <w:t>6. It removes unnecessary language associated with a corrected cross-reference that describes future equivalent or amended versions of the cross-referenced provision.</w:t>
      </w:r>
    </w:p>
    <w:p w:rsidR="00AD0528" w:rsidP="00AD0528">
      <w:pPr>
        <w:ind w:left="360" w:firstLine="360"/>
        <w:rPr>
          <w:rFonts w:ascii="Arial" w:eastAsia="Arial" w:hAnsi="Arial" w:cs="Arial"/>
        </w:rPr>
      </w:pPr>
      <w:bookmarkStart w:id="108" w:name="_PAR__4_96e896dc_c8e0_48b5_b149_47a866cd"/>
      <w:bookmarkEnd w:id="107"/>
      <w:r>
        <w:rPr>
          <w:rFonts w:ascii="Arial" w:eastAsia="Arial" w:hAnsi="Arial" w:cs="Arial"/>
        </w:rPr>
        <w:t>7. It corrects a conflict created by Public Law 2025, chapters 388 and 390, which affected the same provision of law, by repealing the provision and replacing it with the chapter 388 version.</w:t>
      </w:r>
    </w:p>
    <w:p w:rsidR="00000000" w:rsidP="00AD0528">
      <w:pPr>
        <w:ind w:left="360" w:firstLine="360"/>
        <w:rPr>
          <w:rFonts w:ascii="Arial" w:eastAsia="Arial" w:hAnsi="Arial" w:cs="Arial"/>
        </w:rPr>
      </w:pPr>
      <w:bookmarkStart w:id="109" w:name="_PAR__5_3a9b6931_6be9_4b89_9ec6_5a174817"/>
      <w:bookmarkEnd w:id="108"/>
      <w:r>
        <w:rPr>
          <w:rFonts w:ascii="Arial" w:eastAsia="Arial" w:hAnsi="Arial" w:cs="Arial"/>
        </w:rPr>
        <w:t>8. It updates language associated with a cross-reference to match current law.</w:t>
      </w:r>
      <w:bookmarkEnd w:id="96"/>
      <w:bookmarkEnd w:id="105"/>
      <w:bookmarkEnd w:id="10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LR2946,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Correct Inconsistencies, Conflicts and Errors in the Laws of Maine</w:t>
    </w:r>
  </w:p>
  <w:p>
    <w:pPr>
      <w:suppressLineNumbers/>
      <w:spacing w:before="0" w:after="0"/>
      <w:jc w:val="center"/>
      <w:rPr>
        <w:rFonts w:ascii="Arial" w:eastAsia="Arial" w:hAnsi="Arial" w:cs="Arial"/>
      </w:rPr>
    </w:pPr>
    <w:r>
      <w:rPr>
        <w:rFonts w:ascii="Arial" w:eastAsia="Arial" w:hAnsi="Arial" w:cs="Arial"/>
        <w:sz w:val="22"/>
      </w:rPr>
      <w:t>L.D. 2170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0528"/>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