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Access to Primary Care Provided by Physician Associates</w:t>
      </w:r>
    </w:p>
    <w:p w:rsidR="00136757" w:rsidP="00136757">
      <w:pPr>
        <w:spacing w:after="240"/>
        <w:ind w:left="360"/>
        <w:jc w:val="right"/>
        <w:rPr>
          <w:rFonts w:ascii="Arial" w:eastAsia="Arial" w:hAnsi="Arial" w:cs="Arial"/>
          <w:caps/>
        </w:rPr>
      </w:pPr>
      <w:bookmarkStart w:id="0" w:name="_AMEND_TITLE__17817b1e_11e8_4ec6_bd13_e2"/>
      <w:bookmarkStart w:id="1" w:name="_PAGE__1_cdbaa55d_5614_4d2b_bb6c_c58e6b4"/>
      <w:bookmarkStart w:id="2" w:name="_PAR__2_71e957f6_9a36_4707_a9ec_0fc4aa10"/>
      <w:r>
        <w:rPr>
          <w:rFonts w:ascii="Arial" w:eastAsia="Arial" w:hAnsi="Arial" w:cs="Arial"/>
          <w:caps/>
        </w:rPr>
        <w:t>L.D. 2088</w:t>
      </w:r>
    </w:p>
    <w:p w:rsidR="00136757" w:rsidP="00136757">
      <w:pPr>
        <w:tabs>
          <w:tab w:val="right" w:pos="8928"/>
        </w:tabs>
        <w:spacing w:after="360"/>
        <w:ind w:left="360"/>
        <w:rPr>
          <w:rFonts w:ascii="Arial" w:eastAsia="Arial" w:hAnsi="Arial" w:cs="Arial"/>
        </w:rPr>
      </w:pPr>
      <w:bookmarkStart w:id="3" w:name="_PAR__3_726d2fce_f17f_4389_a799_3016c6f5"/>
      <w:bookmarkEnd w:id="2"/>
      <w:r>
        <w:rPr>
          <w:rFonts w:ascii="Arial" w:eastAsia="Arial" w:hAnsi="Arial" w:cs="Arial"/>
        </w:rPr>
        <w:t>Date:</w:t>
      </w:r>
      <w:r>
        <w:rPr>
          <w:rFonts w:ascii="Arial" w:eastAsia="Arial" w:hAnsi="Arial" w:cs="Arial"/>
        </w:rPr>
        <w:tab/>
        <w:t>(Filing No. H-         )</w:t>
      </w:r>
    </w:p>
    <w:p w:rsidR="00136757" w:rsidP="00136757">
      <w:pPr>
        <w:spacing w:before="600" w:after="300"/>
        <w:ind w:left="360"/>
        <w:jc w:val="center"/>
        <w:outlineLvl w:val="0"/>
        <w:rPr>
          <w:rFonts w:ascii="Arial" w:eastAsia="Arial" w:hAnsi="Arial" w:cs="Arial"/>
        </w:rPr>
      </w:pPr>
      <w:bookmarkStart w:id="4" w:name="_PAR__4_cf791663_326b_435c_8823_c35d7f04"/>
      <w:bookmarkEnd w:id="3"/>
      <w:r>
        <w:rPr>
          <w:rFonts w:ascii="Arial" w:eastAsia="Arial" w:hAnsi="Arial" w:cs="Arial"/>
          <w:b/>
          <w:caps/>
          <w:sz w:val="24"/>
          <w:szCs w:val="32"/>
        </w:rPr>
        <w:t xml:space="preserve">Health Coverage, Insurance and Financial Services </w:t>
      </w:r>
    </w:p>
    <w:p w:rsidR="00136757" w:rsidP="00136757">
      <w:pPr>
        <w:spacing w:before="60" w:after="60"/>
        <w:ind w:left="720"/>
        <w:rPr>
          <w:rFonts w:ascii="Arial" w:eastAsia="Arial" w:hAnsi="Arial" w:cs="Arial"/>
        </w:rPr>
      </w:pPr>
      <w:bookmarkStart w:id="5" w:name="_PAR__5_1f2618bf_670a_46f5_bc87_0296d825"/>
      <w:bookmarkEnd w:id="4"/>
      <w:r>
        <w:rPr>
          <w:rFonts w:ascii="Arial" w:eastAsia="Arial" w:hAnsi="Arial" w:cs="Arial"/>
        </w:rPr>
        <w:t>Reproduced and distributed under the direction of the Clerk of the House.</w:t>
      </w:r>
    </w:p>
    <w:p w:rsidR="00136757" w:rsidP="00136757">
      <w:pPr>
        <w:spacing w:before="160" w:after="0"/>
        <w:ind w:left="360"/>
        <w:jc w:val="center"/>
        <w:outlineLvl w:val="0"/>
        <w:rPr>
          <w:rFonts w:ascii="Arial" w:eastAsia="Arial" w:hAnsi="Arial" w:cs="Arial"/>
          <w:b/>
          <w:caps/>
          <w:sz w:val="24"/>
          <w:szCs w:val="32"/>
        </w:rPr>
      </w:pPr>
      <w:bookmarkStart w:id="6" w:name="_PAR__6_5885ffd8_4e6a_4efe_a4a7_ab1b62d4"/>
      <w:bookmarkEnd w:id="5"/>
      <w:r>
        <w:rPr>
          <w:rFonts w:ascii="Arial" w:eastAsia="Arial" w:hAnsi="Arial" w:cs="Arial"/>
          <w:b/>
          <w:caps/>
          <w:sz w:val="24"/>
          <w:szCs w:val="32"/>
        </w:rPr>
        <w:t>STATE OF MAINE</w:t>
      </w:r>
    </w:p>
    <w:p w:rsidR="00136757" w:rsidP="00136757">
      <w:pPr>
        <w:spacing w:after="0"/>
        <w:ind w:left="360"/>
        <w:jc w:val="center"/>
        <w:outlineLvl w:val="0"/>
        <w:rPr>
          <w:rFonts w:ascii="Arial" w:eastAsia="Arial" w:hAnsi="Arial" w:cs="Arial"/>
          <w:b/>
          <w:caps/>
          <w:sz w:val="24"/>
          <w:szCs w:val="32"/>
        </w:rPr>
      </w:pPr>
      <w:bookmarkStart w:id="7" w:name="_PAR__7_4384e130_b37a_4bcd_937d_a9432273"/>
      <w:bookmarkEnd w:id="6"/>
      <w:r>
        <w:rPr>
          <w:rFonts w:ascii="Arial" w:eastAsia="Arial" w:hAnsi="Arial" w:cs="Arial"/>
          <w:b/>
          <w:caps/>
          <w:sz w:val="24"/>
          <w:szCs w:val="32"/>
        </w:rPr>
        <w:t>HOUSE OF REPRESENTATIVES</w:t>
      </w:r>
    </w:p>
    <w:p w:rsidR="00136757" w:rsidP="00136757">
      <w:pPr>
        <w:spacing w:after="0"/>
        <w:ind w:left="360"/>
        <w:jc w:val="center"/>
        <w:outlineLvl w:val="0"/>
        <w:rPr>
          <w:rFonts w:ascii="Arial" w:eastAsia="Arial" w:hAnsi="Arial" w:cs="Arial"/>
          <w:b/>
          <w:caps/>
          <w:sz w:val="24"/>
          <w:szCs w:val="32"/>
        </w:rPr>
      </w:pPr>
      <w:bookmarkStart w:id="8" w:name="_PAR__8_b39aae9c_6b58_4168_a693_24c63fff"/>
      <w:bookmarkEnd w:id="7"/>
      <w:r>
        <w:rPr>
          <w:rFonts w:ascii="Arial" w:eastAsia="Arial" w:hAnsi="Arial" w:cs="Arial"/>
          <w:b/>
          <w:caps/>
          <w:sz w:val="24"/>
          <w:szCs w:val="32"/>
        </w:rPr>
        <w:t>132nd Legislature</w:t>
      </w:r>
    </w:p>
    <w:p w:rsidR="00136757" w:rsidP="00136757">
      <w:pPr>
        <w:spacing w:after="0"/>
        <w:ind w:left="360"/>
        <w:jc w:val="center"/>
        <w:outlineLvl w:val="0"/>
        <w:rPr>
          <w:rFonts w:ascii="Arial" w:eastAsia="Arial" w:hAnsi="Arial" w:cs="Arial"/>
          <w:b/>
          <w:caps/>
          <w:sz w:val="24"/>
          <w:szCs w:val="32"/>
        </w:rPr>
      </w:pPr>
      <w:bookmarkStart w:id="9" w:name="_PAR__9_0423f649_bfd9_41e5_bc03_6c29f86a"/>
      <w:bookmarkEnd w:id="8"/>
      <w:r>
        <w:rPr>
          <w:rFonts w:ascii="Arial" w:eastAsia="Arial" w:hAnsi="Arial" w:cs="Arial"/>
          <w:b/>
          <w:caps/>
          <w:sz w:val="24"/>
          <w:szCs w:val="32"/>
        </w:rPr>
        <w:t>Second Regular Session</w:t>
      </w:r>
    </w:p>
    <w:p w:rsidR="00136757" w:rsidP="00136757">
      <w:pPr>
        <w:spacing w:before="400" w:after="200"/>
        <w:ind w:left="360" w:firstLine="360"/>
        <w:rPr>
          <w:rFonts w:ascii="Arial" w:eastAsia="Arial" w:hAnsi="Arial" w:cs="Arial"/>
        </w:rPr>
      </w:pPr>
      <w:bookmarkStart w:id="10" w:name="_PAR__10_7714708a_465a_4aff_a736_beb96d6"/>
      <w:bookmarkEnd w:id="9"/>
      <w:r>
        <w:rPr>
          <w:rFonts w:ascii="Arial" w:eastAsia="Arial" w:hAnsi="Arial" w:cs="Arial"/>
          <w:szCs w:val="22"/>
        </w:rPr>
        <w:t>COMMITTEE AMENDMENT “      ” to H.P. 1403, L.D. 2088, “An Act to Increase Access to Primary Care Provided by Physician Associates”</w:t>
      </w:r>
    </w:p>
    <w:p w:rsidR="00136757" w:rsidP="00136757">
      <w:pPr>
        <w:ind w:left="360" w:firstLine="360"/>
        <w:rPr>
          <w:rFonts w:ascii="Arial" w:eastAsia="Arial" w:hAnsi="Arial" w:cs="Arial"/>
        </w:rPr>
      </w:pPr>
      <w:bookmarkStart w:id="11" w:name="_INSTRUCTION__cfe0edf5_ebd9_4bfa_a350_08"/>
      <w:bookmarkStart w:id="12" w:name="_PAR__11_aac8666c_f4ca_4839_9b64_b764570"/>
      <w:bookmarkEnd w:id="0"/>
      <w:bookmarkEnd w:id="10"/>
      <w:r>
        <w:rPr>
          <w:rFonts w:ascii="Arial" w:eastAsia="Arial" w:hAnsi="Arial" w:cs="Arial"/>
        </w:rPr>
        <w:t>Amend the bill by striking out all of section 4 and inserting the following:</w:t>
      </w:r>
    </w:p>
    <w:p w:rsidR="00136757" w:rsidP="00136757">
      <w:pPr>
        <w:ind w:left="360" w:firstLine="360"/>
        <w:rPr>
          <w:rFonts w:ascii="Arial" w:eastAsia="Arial" w:hAnsi="Arial" w:cs="Arial"/>
        </w:rPr>
      </w:pPr>
      <w:bookmarkStart w:id="13" w:name="_PAR__12_732a0f2b_b955_4463_83ec_da4508b"/>
      <w:bookmarkEnd w:id="12"/>
      <w:r>
        <w:rPr>
          <w:rFonts w:ascii="Arial" w:eastAsia="Arial" w:hAnsi="Arial" w:cs="Arial"/>
        </w:rPr>
        <w:t>'</w:t>
      </w:r>
      <w:r>
        <w:rPr>
          <w:rFonts w:ascii="Arial" w:eastAsia="Arial" w:hAnsi="Arial" w:cs="Arial"/>
          <w:b/>
          <w:sz w:val="24"/>
        </w:rPr>
        <w:t>Sec. 4.  32 MRSA §2594-F, sub-§6,</w:t>
      </w:r>
      <w:r>
        <w:rPr>
          <w:rFonts w:ascii="Arial" w:eastAsia="Arial" w:hAnsi="Arial" w:cs="Arial"/>
        </w:rPr>
        <w:t xml:space="preserve"> as enacted by PL 2019, c. 627, Pt. B, §13 and amended by PL 2025, c. 316, §3, is further amended to read:</w:t>
      </w:r>
    </w:p>
    <w:p w:rsidR="00136757" w:rsidP="00136757">
      <w:pPr>
        <w:ind w:left="360" w:firstLine="360"/>
        <w:rPr>
          <w:rFonts w:ascii="Arial" w:eastAsia="Arial" w:hAnsi="Arial" w:cs="Arial"/>
        </w:rPr>
      </w:pPr>
      <w:bookmarkStart w:id="14" w:name="_PAR__13_3da97773_e907_4156_ae0f_a81c91c"/>
      <w:bookmarkEnd w:id="13"/>
      <w:r>
        <w:rPr>
          <w:rFonts w:ascii="Arial" w:eastAsia="Arial" w:hAnsi="Arial" w:cs="Arial"/>
          <w:b/>
        </w:rPr>
        <w:t xml:space="preserve">6.  </w:t>
      </w:r>
      <w:r>
        <w:rPr>
          <w:rFonts w:ascii="Arial" w:eastAsia="Arial" w:hAnsi="Arial" w:cs="Arial"/>
          <w:b/>
          <w:strike/>
        </w:rPr>
        <w:t>Practice agreement</w:t>
      </w:r>
      <w:r>
        <w:rPr>
          <w:rFonts w:ascii="Arial" w:eastAsia="Arial" w:hAnsi="Arial" w:cs="Arial"/>
          <w:b/>
        </w:rPr>
        <w:t xml:space="preserve"> </w:t>
      </w:r>
      <w:r>
        <w:rPr>
          <w:rFonts w:ascii="Arial" w:eastAsia="Arial" w:hAnsi="Arial" w:cs="Arial"/>
          <w:b/>
          <w:u w:val="single"/>
        </w:rPr>
        <w:t>Principal clinical provider</w:t>
      </w:r>
      <w:r>
        <w:rPr>
          <w:rFonts w:ascii="Arial" w:eastAsia="Arial" w:hAnsi="Arial" w:cs="Arial"/>
          <w:b/>
        </w:rPr>
        <w:t xml:space="preserve"> requirements. </w:t>
      </w:r>
      <w:r>
        <w:rPr>
          <w:rFonts w:ascii="Arial" w:eastAsia="Arial" w:hAnsi="Arial" w:cs="Arial"/>
        </w:rPr>
        <w:t xml:space="preserve"> A physician associate who has more than 4,000 hours of clinical practice may be the principal clinical provider in a practice that does not include a physician partner as long as the physician associate </w:t>
      </w:r>
      <w:r>
        <w:rPr>
          <w:rFonts w:ascii="Arial" w:eastAsia="Arial" w:hAnsi="Arial" w:cs="Arial"/>
          <w:strike/>
        </w:rPr>
        <w:t>has a practice agreement with an active physician, and other health care professionals as necessary,</w:t>
      </w:r>
      <w:r>
        <w:rPr>
          <w:rFonts w:ascii="Arial" w:eastAsia="Arial" w:hAnsi="Arial" w:cs="Arial"/>
        </w:rPr>
        <w:t xml:space="preserve"> </w:t>
      </w:r>
      <w:r>
        <w:rPr>
          <w:rFonts w:ascii="Arial" w:eastAsia="Arial" w:hAnsi="Arial" w:cs="Arial"/>
          <w:u w:val="single"/>
        </w:rPr>
        <w:t>submits documentation to the board</w:t>
      </w:r>
      <w:r>
        <w:rPr>
          <w:rFonts w:ascii="Arial" w:eastAsia="Arial" w:hAnsi="Arial" w:cs="Arial"/>
        </w:rPr>
        <w:t xml:space="preserve"> that describes the physician associate's scope of practice </w:t>
      </w:r>
      <w:r>
        <w:rPr>
          <w:rFonts w:ascii="Arial" w:eastAsia="Arial" w:hAnsi="Arial" w:cs="Arial"/>
          <w:u w:val="single"/>
        </w:rPr>
        <w:t>as determined by the independent practice setting, including information about the location of the physician associate's independent practice and how the physician associate will consult with or collaborate with an appropriate physician or other health care professional as indicated by a patient's condition or refer a patient to a physician or other health care professional</w:t>
      </w:r>
      <w:r>
        <w:rPr>
          <w:rFonts w:ascii="Arial" w:eastAsia="Arial" w:hAnsi="Arial" w:cs="Arial"/>
        </w:rPr>
        <w:t xml:space="preserve">. A physician associate is legally responsible and assumes legal liability for any medical service provided by the physician associate in accordance with the physician associate's scope of practice under subsection 2 and </w:t>
      </w:r>
      <w:r>
        <w:rPr>
          <w:rFonts w:ascii="Arial" w:eastAsia="Arial" w:hAnsi="Arial" w:cs="Arial"/>
          <w:strike/>
        </w:rPr>
        <w:t>a practice agreement under</w:t>
      </w:r>
      <w:r>
        <w:rPr>
          <w:rFonts w:ascii="Arial" w:eastAsia="Arial" w:hAnsi="Arial" w:cs="Arial"/>
        </w:rPr>
        <w:t xml:space="preserve"> this subsection. A physician associate shall submit the </w:t>
      </w:r>
      <w:r>
        <w:rPr>
          <w:rFonts w:ascii="Arial" w:eastAsia="Arial" w:hAnsi="Arial" w:cs="Arial"/>
          <w:strike/>
        </w:rPr>
        <w:t>practice agreement</w:t>
      </w:r>
      <w:r>
        <w:rPr>
          <w:rFonts w:ascii="Arial" w:eastAsia="Arial" w:hAnsi="Arial" w:cs="Arial"/>
        </w:rPr>
        <w:t xml:space="preserve"> </w:t>
      </w:r>
      <w:r>
        <w:rPr>
          <w:rFonts w:ascii="Arial" w:eastAsia="Arial" w:hAnsi="Arial" w:cs="Arial"/>
          <w:u w:val="single"/>
        </w:rPr>
        <w:t>documentation required by this subsection</w:t>
      </w:r>
      <w:r>
        <w:rPr>
          <w:rFonts w:ascii="Arial" w:eastAsia="Arial" w:hAnsi="Arial" w:cs="Arial"/>
        </w:rPr>
        <w:t xml:space="preserve"> to the board </w:t>
      </w:r>
      <w:r>
        <w:rPr>
          <w:rFonts w:ascii="Arial" w:eastAsia="Arial" w:hAnsi="Arial" w:cs="Arial"/>
          <w:strike/>
        </w:rPr>
        <w:t>for approval</w:t>
      </w:r>
      <w:r>
        <w:rPr>
          <w:rFonts w:ascii="Arial" w:eastAsia="Arial" w:hAnsi="Arial" w:cs="Arial"/>
        </w:rPr>
        <w:t xml:space="preserve"> </w:t>
      </w:r>
      <w:r>
        <w:rPr>
          <w:rFonts w:ascii="Arial" w:eastAsia="Arial" w:hAnsi="Arial" w:cs="Arial"/>
          <w:u w:val="single"/>
        </w:rPr>
        <w:t>in a satisfactory manner,</w:t>
      </w:r>
      <w:r>
        <w:rPr>
          <w:rFonts w:ascii="Arial" w:eastAsia="Arial" w:hAnsi="Arial" w:cs="Arial"/>
        </w:rPr>
        <w:t xml:space="preserve"> and the </w:t>
      </w:r>
      <w:r>
        <w:rPr>
          <w:rFonts w:ascii="Arial" w:eastAsia="Arial" w:hAnsi="Arial" w:cs="Arial"/>
          <w:strike/>
        </w:rPr>
        <w:t>agreement</w:t>
      </w:r>
      <w:r>
        <w:rPr>
          <w:rFonts w:ascii="Arial" w:eastAsia="Arial" w:hAnsi="Arial" w:cs="Arial"/>
        </w:rPr>
        <w:t xml:space="preserve"> </w:t>
      </w:r>
      <w:r>
        <w:rPr>
          <w:rFonts w:ascii="Arial" w:eastAsia="Arial" w:hAnsi="Arial" w:cs="Arial"/>
          <w:u w:val="single"/>
        </w:rPr>
        <w:t>documentation</w:t>
      </w:r>
      <w:r>
        <w:rPr>
          <w:rFonts w:ascii="Arial" w:eastAsia="Arial" w:hAnsi="Arial" w:cs="Arial"/>
        </w:rPr>
        <w:t xml:space="preserve"> must be kept on file at the main location of the physician associate's practice and be made available to the board or the board's representative upon request. Upon any change in the </w:t>
      </w:r>
      <w:r>
        <w:rPr>
          <w:rFonts w:ascii="Arial" w:eastAsia="Arial" w:hAnsi="Arial" w:cs="Arial"/>
          <w:strike/>
        </w:rPr>
        <w:t>parties to the practice agreement or other substantive change in the practice agreement</w:t>
      </w:r>
      <w:r>
        <w:rPr>
          <w:rFonts w:ascii="Arial" w:eastAsia="Arial" w:hAnsi="Arial" w:cs="Arial"/>
        </w:rPr>
        <w:t xml:space="preserve"> </w:t>
      </w:r>
      <w:r>
        <w:rPr>
          <w:rFonts w:ascii="Arial" w:eastAsia="Arial" w:hAnsi="Arial" w:cs="Arial"/>
          <w:u w:val="single"/>
        </w:rPr>
        <w:t>physician associate's scope of practice</w:t>
      </w:r>
      <w:r>
        <w:rPr>
          <w:rFonts w:ascii="Arial" w:eastAsia="Arial" w:hAnsi="Arial" w:cs="Arial"/>
        </w:rPr>
        <w:t xml:space="preserve">, the physician associate shall submit </w:t>
      </w:r>
      <w:r>
        <w:rPr>
          <w:rFonts w:ascii="Arial" w:eastAsia="Arial" w:hAnsi="Arial" w:cs="Arial"/>
          <w:strike/>
        </w:rPr>
        <w:t>the</w:t>
      </w:r>
      <w:r>
        <w:rPr>
          <w:rFonts w:ascii="Arial" w:eastAsia="Arial" w:hAnsi="Arial" w:cs="Arial"/>
        </w:rPr>
        <w:t xml:space="preserve"> revised </w:t>
      </w:r>
      <w:r>
        <w:rPr>
          <w:rFonts w:ascii="Arial" w:eastAsia="Arial" w:hAnsi="Arial" w:cs="Arial"/>
          <w:strike/>
        </w:rPr>
        <w:t>practice agreement</w:t>
      </w:r>
      <w:r>
        <w:rPr>
          <w:rFonts w:ascii="Arial" w:eastAsia="Arial" w:hAnsi="Arial" w:cs="Arial"/>
        </w:rPr>
        <w:t xml:space="preserve"> </w:t>
      </w:r>
      <w:r>
        <w:rPr>
          <w:rFonts w:ascii="Arial" w:eastAsia="Arial" w:hAnsi="Arial" w:cs="Arial"/>
          <w:u w:val="single"/>
        </w:rPr>
        <w:t>documentation reflecting that change</w:t>
      </w:r>
      <w:r>
        <w:rPr>
          <w:rFonts w:ascii="Arial" w:eastAsia="Arial" w:hAnsi="Arial" w:cs="Arial"/>
        </w:rPr>
        <w:t xml:space="preserve"> to the board </w:t>
      </w:r>
      <w:r>
        <w:rPr>
          <w:rFonts w:ascii="Arial" w:eastAsia="Arial" w:hAnsi="Arial" w:cs="Arial"/>
          <w:strike/>
        </w:rPr>
        <w:t>for approval</w:t>
      </w:r>
      <w:r>
        <w:rPr>
          <w:rFonts w:ascii="Arial" w:eastAsia="Arial" w:hAnsi="Arial" w:cs="Arial"/>
        </w:rPr>
        <w:t xml:space="preserve">.  </w:t>
      </w:r>
      <w:r>
        <w:rPr>
          <w:rFonts w:ascii="Arial" w:eastAsia="Arial" w:hAnsi="Arial" w:cs="Arial"/>
          <w:strike/>
        </w:rPr>
        <w:t>Under a practice agreement, consultation may occur through electronic means and does not require the physical presence of the physician or other health care providers who are parties to the agreement at the time or place that the medical services are provided.</w:t>
      </w:r>
      <w:r>
        <w:rPr>
          <w:rFonts w:ascii="Arial" w:eastAsia="Arial" w:hAnsi="Arial" w:cs="Arial"/>
        </w:rPr>
        <w:t>'</w:t>
      </w:r>
    </w:p>
    <w:p w:rsidR="00136757" w:rsidP="00136757">
      <w:pPr>
        <w:ind w:left="360" w:firstLine="360"/>
        <w:rPr>
          <w:rFonts w:ascii="Arial" w:eastAsia="Arial" w:hAnsi="Arial" w:cs="Arial"/>
        </w:rPr>
      </w:pPr>
      <w:bookmarkStart w:id="15" w:name="_INSTRUCTION__56b487a4_0e5e_44cf_bf5b_45"/>
      <w:bookmarkStart w:id="16" w:name="_PAR__14_e60a11ff_5b4c_4873_bd07_b1cee6a"/>
      <w:bookmarkEnd w:id="11"/>
      <w:bookmarkEnd w:id="14"/>
      <w:r>
        <w:rPr>
          <w:rFonts w:ascii="Arial" w:eastAsia="Arial" w:hAnsi="Arial" w:cs="Arial"/>
        </w:rPr>
        <w:t>Amend the bill by striking out all of section 8 and inserting the following:</w:t>
      </w:r>
    </w:p>
    <w:p w:rsidR="00136757" w:rsidP="00136757">
      <w:pPr>
        <w:ind w:left="360" w:firstLine="360"/>
        <w:rPr>
          <w:rFonts w:ascii="Arial" w:eastAsia="Arial" w:hAnsi="Arial" w:cs="Arial"/>
        </w:rPr>
      </w:pPr>
      <w:bookmarkStart w:id="17" w:name="_PAGE__2_9059eee2_8c0b_4277_aadc_d3b3047"/>
      <w:bookmarkStart w:id="18" w:name="_PAR__2_b65aaf47_3a7f_45f0_a605_0edc69e6"/>
      <w:bookmarkEnd w:id="1"/>
      <w:bookmarkEnd w:id="16"/>
      <w:r>
        <w:rPr>
          <w:rFonts w:ascii="Arial" w:eastAsia="Arial" w:hAnsi="Arial" w:cs="Arial"/>
        </w:rPr>
        <w:t>'</w:t>
      </w:r>
      <w:r>
        <w:rPr>
          <w:rFonts w:ascii="Arial" w:eastAsia="Arial" w:hAnsi="Arial" w:cs="Arial"/>
          <w:b/>
          <w:sz w:val="24"/>
        </w:rPr>
        <w:t>Sec. 8.  32 MRSA §3270-G, sub-§6,</w:t>
      </w:r>
      <w:r>
        <w:rPr>
          <w:rFonts w:ascii="Arial" w:eastAsia="Arial" w:hAnsi="Arial" w:cs="Arial"/>
        </w:rPr>
        <w:t xml:space="preserve"> as enacted by PL 2019, c. 627, Pt. B, §17 and amended by PL 2025, c. 316, §3, is further amended to read:</w:t>
      </w:r>
    </w:p>
    <w:p w:rsidR="00136757" w:rsidP="00136757">
      <w:pPr>
        <w:ind w:left="360" w:firstLine="360"/>
        <w:rPr>
          <w:rFonts w:ascii="Arial" w:eastAsia="Arial" w:hAnsi="Arial" w:cs="Arial"/>
        </w:rPr>
      </w:pPr>
      <w:bookmarkStart w:id="19" w:name="_PAR__3_19d8abed_da47_4c51_9bc9_0f5d5cc6"/>
      <w:bookmarkEnd w:id="18"/>
      <w:r>
        <w:rPr>
          <w:rFonts w:ascii="Arial" w:eastAsia="Arial" w:hAnsi="Arial" w:cs="Arial"/>
          <w:b/>
        </w:rPr>
        <w:t xml:space="preserve">6.  </w:t>
      </w:r>
      <w:r>
        <w:rPr>
          <w:rFonts w:ascii="Arial" w:eastAsia="Arial" w:hAnsi="Arial" w:cs="Arial"/>
          <w:b/>
          <w:strike/>
        </w:rPr>
        <w:t>Practice agreement</w:t>
      </w:r>
      <w:r>
        <w:rPr>
          <w:rFonts w:ascii="Arial" w:eastAsia="Arial" w:hAnsi="Arial" w:cs="Arial"/>
          <w:b/>
        </w:rPr>
        <w:t xml:space="preserve"> </w:t>
      </w:r>
      <w:r w:rsidRPr="00780F93">
        <w:rPr>
          <w:rFonts w:ascii="Arial" w:eastAsia="Arial" w:hAnsi="Arial" w:cs="Arial"/>
          <w:b/>
          <w:u w:val="single"/>
        </w:rPr>
        <w:t>Principal clinical provider</w:t>
      </w:r>
      <w:r>
        <w:rPr>
          <w:rFonts w:ascii="Arial" w:eastAsia="Arial" w:hAnsi="Arial" w:cs="Arial"/>
          <w:b/>
        </w:rPr>
        <w:t xml:space="preserve"> requirements. </w:t>
      </w:r>
      <w:r>
        <w:rPr>
          <w:rFonts w:ascii="Arial" w:eastAsia="Arial" w:hAnsi="Arial" w:cs="Arial"/>
        </w:rPr>
        <w:t xml:space="preserve"> A physician associate who has more than 4,000 hours of clinical practice may be the principal clinical provider in a practice that does not include a physician partner as long as the physician associate </w:t>
      </w:r>
      <w:r>
        <w:rPr>
          <w:rFonts w:ascii="Arial" w:eastAsia="Arial" w:hAnsi="Arial" w:cs="Arial"/>
          <w:strike/>
        </w:rPr>
        <w:t>has a practice agreement with an active physician, and other health care professionals as necessary,</w:t>
      </w:r>
      <w:r>
        <w:rPr>
          <w:rFonts w:ascii="Arial" w:eastAsia="Arial" w:hAnsi="Arial" w:cs="Arial"/>
        </w:rPr>
        <w:t xml:space="preserve"> </w:t>
      </w:r>
      <w:r>
        <w:rPr>
          <w:rFonts w:ascii="Arial" w:eastAsia="Arial" w:hAnsi="Arial" w:cs="Arial"/>
          <w:u w:val="single"/>
        </w:rPr>
        <w:t>submits documentation to the board</w:t>
      </w:r>
      <w:r>
        <w:rPr>
          <w:rFonts w:ascii="Arial" w:eastAsia="Arial" w:hAnsi="Arial" w:cs="Arial"/>
        </w:rPr>
        <w:t xml:space="preserve"> that describes the physician associate's scope of practice </w:t>
      </w:r>
      <w:r>
        <w:rPr>
          <w:rFonts w:ascii="Arial" w:eastAsia="Arial" w:hAnsi="Arial" w:cs="Arial"/>
          <w:u w:val="single"/>
        </w:rPr>
        <w:t>as determined by the independent practice setting, including information about the location of the physician associate's independent practice and how the physician associate will consult with or collaborate with an appropriate physician or other health care professional as indicated by a patient's condition or refer a patient to a physician or other health care professional</w:t>
      </w:r>
      <w:r>
        <w:rPr>
          <w:rFonts w:ascii="Arial" w:eastAsia="Arial" w:hAnsi="Arial" w:cs="Arial"/>
        </w:rPr>
        <w:t xml:space="preserve">. A physician associate is legally responsible and assumes legal liability for any medical service provided by the physician associate in accordance with the physician associate's scope of practice under subsection 2 and </w:t>
      </w:r>
      <w:r>
        <w:rPr>
          <w:rFonts w:ascii="Arial" w:eastAsia="Arial" w:hAnsi="Arial" w:cs="Arial"/>
          <w:strike/>
        </w:rPr>
        <w:t>a practice agreement under</w:t>
      </w:r>
      <w:r>
        <w:rPr>
          <w:rFonts w:ascii="Arial" w:eastAsia="Arial" w:hAnsi="Arial" w:cs="Arial"/>
        </w:rPr>
        <w:t xml:space="preserve"> this subsection. A physician associate shall submit the </w:t>
      </w:r>
      <w:r>
        <w:rPr>
          <w:rFonts w:ascii="Arial" w:eastAsia="Arial" w:hAnsi="Arial" w:cs="Arial"/>
          <w:strike/>
        </w:rPr>
        <w:t>practice agreement</w:t>
      </w:r>
      <w:r>
        <w:rPr>
          <w:rFonts w:ascii="Arial" w:eastAsia="Arial" w:hAnsi="Arial" w:cs="Arial"/>
        </w:rPr>
        <w:t xml:space="preserve"> </w:t>
      </w:r>
      <w:r>
        <w:rPr>
          <w:rFonts w:ascii="Arial" w:eastAsia="Arial" w:hAnsi="Arial" w:cs="Arial"/>
          <w:u w:val="single"/>
        </w:rPr>
        <w:t>documentation required by this subsection</w:t>
      </w:r>
      <w:r>
        <w:rPr>
          <w:rFonts w:ascii="Arial" w:eastAsia="Arial" w:hAnsi="Arial" w:cs="Arial"/>
        </w:rPr>
        <w:t xml:space="preserve"> to the board </w:t>
      </w:r>
      <w:r>
        <w:rPr>
          <w:rFonts w:ascii="Arial" w:eastAsia="Arial" w:hAnsi="Arial" w:cs="Arial"/>
          <w:strike/>
        </w:rPr>
        <w:t>for approval</w:t>
      </w:r>
      <w:r>
        <w:rPr>
          <w:rFonts w:ascii="Arial" w:eastAsia="Arial" w:hAnsi="Arial" w:cs="Arial"/>
        </w:rPr>
        <w:t xml:space="preserve"> </w:t>
      </w:r>
      <w:r>
        <w:rPr>
          <w:rFonts w:ascii="Arial" w:eastAsia="Arial" w:hAnsi="Arial" w:cs="Arial"/>
          <w:u w:val="single"/>
        </w:rPr>
        <w:t>in a satisfactory manner,</w:t>
      </w:r>
      <w:r>
        <w:rPr>
          <w:rFonts w:ascii="Arial" w:eastAsia="Arial" w:hAnsi="Arial" w:cs="Arial"/>
        </w:rPr>
        <w:t xml:space="preserve"> and the </w:t>
      </w:r>
      <w:r>
        <w:rPr>
          <w:rFonts w:ascii="Arial" w:eastAsia="Arial" w:hAnsi="Arial" w:cs="Arial"/>
          <w:strike/>
        </w:rPr>
        <w:t>agreement</w:t>
      </w:r>
      <w:r>
        <w:rPr>
          <w:rFonts w:ascii="Arial" w:eastAsia="Arial" w:hAnsi="Arial" w:cs="Arial"/>
        </w:rPr>
        <w:t xml:space="preserve"> </w:t>
      </w:r>
      <w:r>
        <w:rPr>
          <w:rFonts w:ascii="Arial" w:eastAsia="Arial" w:hAnsi="Arial" w:cs="Arial"/>
          <w:u w:val="single"/>
        </w:rPr>
        <w:t>documentation</w:t>
      </w:r>
      <w:r>
        <w:rPr>
          <w:rFonts w:ascii="Arial" w:eastAsia="Arial" w:hAnsi="Arial" w:cs="Arial"/>
        </w:rPr>
        <w:t xml:space="preserve"> must be kept on file at the main location of the physician associate's practice and be made available to the board or the board's representative upon request. Upon any change in the </w:t>
      </w:r>
      <w:r>
        <w:rPr>
          <w:rFonts w:ascii="Arial" w:eastAsia="Arial" w:hAnsi="Arial" w:cs="Arial"/>
          <w:strike/>
        </w:rPr>
        <w:t>parties to the practice agreement or other substantive change in the practice agreement</w:t>
      </w:r>
      <w:r>
        <w:rPr>
          <w:rFonts w:ascii="Arial" w:eastAsia="Arial" w:hAnsi="Arial" w:cs="Arial"/>
        </w:rPr>
        <w:t xml:space="preserve"> </w:t>
      </w:r>
      <w:r>
        <w:rPr>
          <w:rFonts w:ascii="Arial" w:eastAsia="Arial" w:hAnsi="Arial" w:cs="Arial"/>
          <w:u w:val="single"/>
        </w:rPr>
        <w:t>physician associate's scope of practice</w:t>
      </w:r>
      <w:r>
        <w:rPr>
          <w:rFonts w:ascii="Arial" w:eastAsia="Arial" w:hAnsi="Arial" w:cs="Arial"/>
        </w:rPr>
        <w:t xml:space="preserve">, the physician associate shall submit the revised </w:t>
      </w:r>
      <w:r>
        <w:rPr>
          <w:rFonts w:ascii="Arial" w:eastAsia="Arial" w:hAnsi="Arial" w:cs="Arial"/>
          <w:strike/>
        </w:rPr>
        <w:t>practice agreement</w:t>
      </w:r>
      <w:r>
        <w:rPr>
          <w:rFonts w:ascii="Arial" w:eastAsia="Arial" w:hAnsi="Arial" w:cs="Arial"/>
        </w:rPr>
        <w:t xml:space="preserve"> </w:t>
      </w:r>
      <w:r>
        <w:rPr>
          <w:rFonts w:ascii="Arial" w:eastAsia="Arial" w:hAnsi="Arial" w:cs="Arial"/>
          <w:u w:val="single"/>
        </w:rPr>
        <w:t>documentation reflecting that change</w:t>
      </w:r>
      <w:r>
        <w:rPr>
          <w:rFonts w:ascii="Arial" w:eastAsia="Arial" w:hAnsi="Arial" w:cs="Arial"/>
        </w:rPr>
        <w:t xml:space="preserve"> to the board </w:t>
      </w:r>
      <w:r>
        <w:rPr>
          <w:rFonts w:ascii="Arial" w:eastAsia="Arial" w:hAnsi="Arial" w:cs="Arial"/>
          <w:strike/>
        </w:rPr>
        <w:t>for approval</w:t>
      </w:r>
      <w:r>
        <w:rPr>
          <w:rFonts w:ascii="Arial" w:eastAsia="Arial" w:hAnsi="Arial" w:cs="Arial"/>
        </w:rPr>
        <w:t xml:space="preserve">. </w:t>
      </w:r>
      <w:r>
        <w:rPr>
          <w:rFonts w:ascii="Arial" w:eastAsia="Arial" w:hAnsi="Arial" w:cs="Arial"/>
          <w:strike/>
        </w:rPr>
        <w:t>Under a practice agreement, consultation may occur through electronic means and does not require the physical presence of the physician or other health care providers who are parties to the agreement at the time or place that the medical services are provided.</w:t>
      </w:r>
      <w:r>
        <w:rPr>
          <w:rFonts w:ascii="Arial" w:eastAsia="Arial" w:hAnsi="Arial" w:cs="Arial"/>
        </w:rPr>
        <w:t>'</w:t>
      </w:r>
    </w:p>
    <w:p w:rsidR="00136757" w:rsidP="00136757">
      <w:pPr>
        <w:ind w:left="360" w:firstLine="360"/>
        <w:rPr>
          <w:rFonts w:ascii="Arial" w:eastAsia="Arial" w:hAnsi="Arial" w:cs="Arial"/>
        </w:rPr>
      </w:pPr>
      <w:bookmarkStart w:id="20" w:name="_INSTRUCTION__45663518_df03_40a2_bdc6_6b"/>
      <w:bookmarkStart w:id="21" w:name="_PAR__4_fcec3d99_6d92_4167_a3c2_48d1a386"/>
      <w:bookmarkEnd w:id="15"/>
      <w:bookmarkEnd w:id="19"/>
      <w:r>
        <w:rPr>
          <w:rFonts w:ascii="Arial" w:eastAsia="Arial" w:hAnsi="Arial" w:cs="Arial"/>
        </w:rPr>
        <w:t>Amend the bill by relettering or renumbering any nonconsecutive Part letter or section number to read consecutively.</w:t>
      </w:r>
    </w:p>
    <w:p w:rsidR="00136757" w:rsidP="00136757">
      <w:pPr>
        <w:keepNext/>
        <w:spacing w:before="240"/>
        <w:ind w:left="360"/>
        <w:jc w:val="center"/>
        <w:rPr>
          <w:rFonts w:ascii="Arial" w:eastAsia="Arial" w:hAnsi="Arial" w:cs="Arial"/>
        </w:rPr>
      </w:pPr>
      <w:bookmarkStart w:id="22" w:name="_SUMMARY__59dcbf82_6e0c_4894_8d54_c6676c"/>
      <w:bookmarkStart w:id="23" w:name="_PAR__5_47c0adee_5916_48b7_be7f_a8a4843c"/>
      <w:bookmarkEnd w:id="20"/>
      <w:bookmarkEnd w:id="21"/>
      <w:r>
        <w:rPr>
          <w:rFonts w:ascii="Arial" w:eastAsia="Arial" w:hAnsi="Arial" w:cs="Arial"/>
          <w:b/>
          <w:sz w:val="24"/>
        </w:rPr>
        <w:t>SUMMARY</w:t>
      </w:r>
    </w:p>
    <w:p w:rsidR="00136757" w:rsidP="00136757">
      <w:pPr>
        <w:keepNext/>
        <w:ind w:left="360" w:firstLine="360"/>
        <w:rPr>
          <w:rFonts w:ascii="Arial" w:eastAsia="Arial" w:hAnsi="Arial" w:cs="Arial"/>
        </w:rPr>
      </w:pPr>
      <w:bookmarkStart w:id="24" w:name="_PAR__6_82706711_0c33_44d5_90c4_ab20497d"/>
      <w:bookmarkEnd w:id="23"/>
      <w:r w:rsidRPr="00780F93">
        <w:rPr>
          <w:rFonts w:ascii="Arial" w:eastAsia="Arial" w:hAnsi="Arial" w:cs="Arial"/>
        </w:rPr>
        <w:t xml:space="preserve">This amendment is the minority report of the committee. </w:t>
      </w:r>
      <w:r>
        <w:rPr>
          <w:rFonts w:ascii="Arial" w:eastAsia="Arial" w:hAnsi="Arial" w:cs="Arial"/>
        </w:rPr>
        <w:t>Like the bill, t</w:t>
      </w:r>
      <w:r w:rsidRPr="00780F93">
        <w:rPr>
          <w:rFonts w:ascii="Arial" w:eastAsia="Arial" w:hAnsi="Arial" w:cs="Arial"/>
        </w:rPr>
        <w:t xml:space="preserve">he amendment removes </w:t>
      </w:r>
      <w:r>
        <w:rPr>
          <w:rFonts w:ascii="Arial" w:eastAsia="Arial" w:hAnsi="Arial" w:cs="Arial"/>
        </w:rPr>
        <w:t xml:space="preserve">from current law </w:t>
      </w:r>
      <w:r w:rsidRPr="00780F93">
        <w:rPr>
          <w:rFonts w:ascii="Arial" w:eastAsia="Arial" w:hAnsi="Arial" w:cs="Arial"/>
        </w:rPr>
        <w:t>the requirement that a physician associate with more than 4</w:t>
      </w:r>
      <w:r>
        <w:rPr>
          <w:rFonts w:ascii="Arial" w:eastAsia="Arial" w:hAnsi="Arial" w:cs="Arial"/>
        </w:rPr>
        <w:t>,</w:t>
      </w:r>
      <w:r w:rsidRPr="00780F93">
        <w:rPr>
          <w:rFonts w:ascii="Arial" w:eastAsia="Arial" w:hAnsi="Arial" w:cs="Arial"/>
        </w:rPr>
        <w:t xml:space="preserve">000 hours of clinical practice must have a signed practice agreement with a physician in order to be the principal clinical provider in a practice that does not include a physician partner. </w:t>
      </w:r>
      <w:r>
        <w:rPr>
          <w:rFonts w:ascii="Arial" w:eastAsia="Arial" w:hAnsi="Arial" w:cs="Arial"/>
        </w:rPr>
        <w:t>While the bill does not provide a replacement to this requirement</w:t>
      </w:r>
      <w:r w:rsidRPr="00780F93">
        <w:rPr>
          <w:rFonts w:ascii="Arial" w:eastAsia="Arial" w:hAnsi="Arial" w:cs="Arial"/>
        </w:rPr>
        <w:t>, the amendment</w:t>
      </w:r>
      <w:r>
        <w:rPr>
          <w:rFonts w:ascii="Arial" w:eastAsia="Arial" w:hAnsi="Arial" w:cs="Arial"/>
        </w:rPr>
        <w:t>, instead of a practice agreement,</w:t>
      </w:r>
      <w:r w:rsidRPr="00780F93">
        <w:rPr>
          <w:rFonts w:ascii="Arial" w:eastAsia="Arial" w:hAnsi="Arial" w:cs="Arial"/>
        </w:rPr>
        <w:t xml:space="preserve"> requires a physician associate to file documentation with the appropriate licensing board that describes the physician associate's scope of practice as determined by the independent practice setting, including information about the location of the physician associate's independent practice and how the physician associate will consult with or collaborate with an appropriate physician or other health care professional as indicated by a patient's condition or refer a patient to a physician or other health care professional.</w:t>
      </w:r>
    </w:p>
    <w:p w:rsidR="00136757" w:rsidP="00136757">
      <w:pPr>
        <w:keepNext/>
        <w:spacing w:before="60" w:after="60"/>
        <w:ind w:left="360"/>
        <w:jc w:val="center"/>
        <w:rPr>
          <w:rFonts w:ascii="Arial" w:eastAsia="Arial" w:hAnsi="Arial" w:cs="Arial"/>
        </w:rPr>
      </w:pPr>
      <w:bookmarkStart w:id="25" w:name="_FISCAL_NOTE_REQUIRED__6a00dd3a_e29e_4a4"/>
      <w:bookmarkStart w:id="26" w:name="_PAR__7_4f12ba1e_d0b4_4900_adbf_7c6d4a4f"/>
      <w:bookmarkEnd w:id="24"/>
      <w:r>
        <w:rPr>
          <w:rFonts w:ascii="Arial" w:eastAsia="Arial" w:hAnsi="Arial" w:cs="Arial"/>
          <w:b/>
        </w:rPr>
        <w:t>FISCAL NOTE REQUIRED</w:t>
      </w:r>
    </w:p>
    <w:p w:rsidR="00000000" w:rsidRPr="00136757" w:rsidP="00136757">
      <w:pPr>
        <w:spacing w:before="60" w:after="60"/>
        <w:ind w:left="360"/>
        <w:jc w:val="center"/>
        <w:rPr>
          <w:rFonts w:ascii="Arial" w:eastAsia="Arial" w:hAnsi="Arial" w:cs="Arial"/>
          <w:b/>
        </w:rPr>
      </w:pPr>
      <w:bookmarkStart w:id="27" w:name="_PAR__8_628af432_ee98_48ed_9849_6b79b4a7"/>
      <w:bookmarkEnd w:id="26"/>
      <w:r>
        <w:rPr>
          <w:rFonts w:ascii="Arial" w:eastAsia="Arial" w:hAnsi="Arial" w:cs="Arial"/>
          <w:b/>
        </w:rPr>
        <w:t>(See attached)</w:t>
      </w:r>
      <w:bookmarkEnd w:id="17"/>
      <w:bookmarkEnd w:id="22"/>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LR2828,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Access to Primary Care Provided by Physician Associates</w:t>
    </w:r>
  </w:p>
  <w:p>
    <w:pPr>
      <w:suppressLineNumbers/>
      <w:spacing w:before="0" w:after="0"/>
      <w:jc w:val="center"/>
      <w:rPr>
        <w:rFonts w:ascii="Arial" w:eastAsia="Arial" w:hAnsi="Arial" w:cs="Arial"/>
      </w:rPr>
    </w:pPr>
    <w:r>
      <w:rPr>
        <w:rFonts w:ascii="Arial" w:eastAsia="Arial" w:hAnsi="Arial" w:cs="Arial"/>
        <w:sz w:val="22"/>
      </w:rPr>
      <w:t>L.D. 2088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6757"/>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80F9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