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Consumers by Prohibiting the Use of Credit Cards in Sports Wagering</w:t>
      </w:r>
    </w:p>
    <w:p w:rsidR="00324C0A" w:rsidP="00324C0A">
      <w:pPr>
        <w:spacing w:after="240"/>
        <w:ind w:left="360"/>
        <w:jc w:val="right"/>
        <w:rPr>
          <w:rFonts w:ascii="Arial" w:eastAsia="Arial" w:hAnsi="Arial" w:cs="Arial"/>
          <w:caps/>
        </w:rPr>
      </w:pPr>
      <w:bookmarkStart w:id="0" w:name="_AMEND_TITLE__a491cb71_234a_4995_8a34_7e"/>
      <w:bookmarkStart w:id="1" w:name="_PAGE__1_5af0b664_ddc3_43e9_857d_da21f6a"/>
      <w:bookmarkStart w:id="2" w:name="_PAR__2_c41c0b3c_8627_4893_80a1_362f3404"/>
      <w:r>
        <w:rPr>
          <w:rFonts w:ascii="Arial" w:eastAsia="Arial" w:hAnsi="Arial" w:cs="Arial"/>
          <w:caps/>
        </w:rPr>
        <w:t>L.D. 2080</w:t>
      </w:r>
    </w:p>
    <w:p w:rsidR="00324C0A" w:rsidP="00324C0A">
      <w:pPr>
        <w:tabs>
          <w:tab w:val="right" w:pos="8928"/>
        </w:tabs>
        <w:spacing w:after="360"/>
        <w:ind w:left="360"/>
        <w:rPr>
          <w:rFonts w:ascii="Arial" w:eastAsia="Arial" w:hAnsi="Arial" w:cs="Arial"/>
        </w:rPr>
      </w:pPr>
      <w:bookmarkStart w:id="3" w:name="_PAR__3_baa942b3_e3f6_4565_9d9c_cb97a4d5"/>
      <w:bookmarkEnd w:id="2"/>
      <w:r>
        <w:rPr>
          <w:rFonts w:ascii="Arial" w:eastAsia="Arial" w:hAnsi="Arial" w:cs="Arial"/>
        </w:rPr>
        <w:t>Date:</w:t>
      </w:r>
      <w:r>
        <w:rPr>
          <w:rFonts w:ascii="Arial" w:eastAsia="Arial" w:hAnsi="Arial" w:cs="Arial"/>
        </w:rPr>
        <w:tab/>
        <w:t>(Filing No. H-         )</w:t>
      </w:r>
    </w:p>
    <w:p w:rsidR="00324C0A" w:rsidP="00324C0A">
      <w:pPr>
        <w:spacing w:before="600" w:after="300"/>
        <w:ind w:left="360"/>
        <w:jc w:val="center"/>
        <w:outlineLvl w:val="0"/>
        <w:rPr>
          <w:rFonts w:ascii="Arial" w:eastAsia="Arial" w:hAnsi="Arial" w:cs="Arial"/>
        </w:rPr>
      </w:pPr>
      <w:bookmarkStart w:id="4" w:name="_PAR__4_a8282097_2e1a_40ed_a67b_b4c0686e"/>
      <w:bookmarkEnd w:id="3"/>
      <w:r>
        <w:rPr>
          <w:rFonts w:ascii="Arial" w:eastAsia="Arial" w:hAnsi="Arial" w:cs="Arial"/>
          <w:b/>
          <w:caps/>
          <w:sz w:val="24"/>
          <w:szCs w:val="32"/>
        </w:rPr>
        <w:t xml:space="preserve">Veterans and Legal Affairs </w:t>
      </w:r>
    </w:p>
    <w:p w:rsidR="00324C0A" w:rsidP="00324C0A">
      <w:pPr>
        <w:spacing w:before="60" w:after="60"/>
        <w:ind w:left="720"/>
        <w:rPr>
          <w:rFonts w:ascii="Arial" w:eastAsia="Arial" w:hAnsi="Arial" w:cs="Arial"/>
        </w:rPr>
      </w:pPr>
      <w:bookmarkStart w:id="5" w:name="_PAR__5_c23f101d_2a08_4cf8_826f_378e589a"/>
      <w:bookmarkEnd w:id="4"/>
      <w:r>
        <w:rPr>
          <w:rFonts w:ascii="Arial" w:eastAsia="Arial" w:hAnsi="Arial" w:cs="Arial"/>
        </w:rPr>
        <w:t>Reproduced and distributed under the direction of the Clerk of the House.</w:t>
      </w:r>
    </w:p>
    <w:p w:rsidR="00324C0A" w:rsidP="00324C0A">
      <w:pPr>
        <w:spacing w:before="160" w:after="0"/>
        <w:ind w:left="360"/>
        <w:jc w:val="center"/>
        <w:outlineLvl w:val="0"/>
        <w:rPr>
          <w:rFonts w:ascii="Arial" w:eastAsia="Arial" w:hAnsi="Arial" w:cs="Arial"/>
          <w:b/>
          <w:caps/>
          <w:sz w:val="24"/>
          <w:szCs w:val="32"/>
        </w:rPr>
      </w:pPr>
      <w:bookmarkStart w:id="6" w:name="_PAR__6_b39421c9_7d70_4234_8cd6_fea319dc"/>
      <w:bookmarkEnd w:id="5"/>
      <w:r>
        <w:rPr>
          <w:rFonts w:ascii="Arial" w:eastAsia="Arial" w:hAnsi="Arial" w:cs="Arial"/>
          <w:b/>
          <w:caps/>
          <w:sz w:val="24"/>
          <w:szCs w:val="32"/>
        </w:rPr>
        <w:t>STATE OF MAINE</w:t>
      </w:r>
    </w:p>
    <w:p w:rsidR="00324C0A" w:rsidP="00324C0A">
      <w:pPr>
        <w:spacing w:after="0"/>
        <w:ind w:left="360"/>
        <w:jc w:val="center"/>
        <w:outlineLvl w:val="0"/>
        <w:rPr>
          <w:rFonts w:ascii="Arial" w:eastAsia="Arial" w:hAnsi="Arial" w:cs="Arial"/>
          <w:b/>
          <w:caps/>
          <w:sz w:val="24"/>
          <w:szCs w:val="32"/>
        </w:rPr>
      </w:pPr>
      <w:bookmarkStart w:id="7" w:name="_PAR__7_e15741b8_4359_45fb_bc43_25aec8f3"/>
      <w:bookmarkEnd w:id="6"/>
      <w:r>
        <w:rPr>
          <w:rFonts w:ascii="Arial" w:eastAsia="Arial" w:hAnsi="Arial" w:cs="Arial"/>
          <w:b/>
          <w:caps/>
          <w:sz w:val="24"/>
          <w:szCs w:val="32"/>
        </w:rPr>
        <w:t>HOUSE OF REPRESENTATIVES</w:t>
      </w:r>
    </w:p>
    <w:p w:rsidR="00324C0A" w:rsidP="00324C0A">
      <w:pPr>
        <w:spacing w:after="0"/>
        <w:ind w:left="360"/>
        <w:jc w:val="center"/>
        <w:outlineLvl w:val="0"/>
        <w:rPr>
          <w:rFonts w:ascii="Arial" w:eastAsia="Arial" w:hAnsi="Arial" w:cs="Arial"/>
          <w:b/>
          <w:caps/>
          <w:sz w:val="24"/>
          <w:szCs w:val="32"/>
        </w:rPr>
      </w:pPr>
      <w:bookmarkStart w:id="8" w:name="_PAR__8_15ecfd71_9f46_4f6b_afe5_93936151"/>
      <w:bookmarkEnd w:id="7"/>
      <w:r>
        <w:rPr>
          <w:rFonts w:ascii="Arial" w:eastAsia="Arial" w:hAnsi="Arial" w:cs="Arial"/>
          <w:b/>
          <w:caps/>
          <w:sz w:val="24"/>
          <w:szCs w:val="32"/>
        </w:rPr>
        <w:t>132nd Legislature</w:t>
      </w:r>
    </w:p>
    <w:p w:rsidR="00324C0A" w:rsidP="00324C0A">
      <w:pPr>
        <w:spacing w:after="0"/>
        <w:ind w:left="360"/>
        <w:jc w:val="center"/>
        <w:outlineLvl w:val="0"/>
        <w:rPr>
          <w:rFonts w:ascii="Arial" w:eastAsia="Arial" w:hAnsi="Arial" w:cs="Arial"/>
          <w:b/>
          <w:caps/>
          <w:sz w:val="24"/>
          <w:szCs w:val="32"/>
        </w:rPr>
      </w:pPr>
      <w:bookmarkStart w:id="9" w:name="_PAR__9_3c2ff7fc_074b_4572_8387_e965c8ac"/>
      <w:bookmarkEnd w:id="8"/>
      <w:r>
        <w:rPr>
          <w:rFonts w:ascii="Arial" w:eastAsia="Arial" w:hAnsi="Arial" w:cs="Arial"/>
          <w:b/>
          <w:caps/>
          <w:sz w:val="24"/>
          <w:szCs w:val="32"/>
        </w:rPr>
        <w:t>Second Regular Session</w:t>
      </w:r>
    </w:p>
    <w:p w:rsidR="00324C0A" w:rsidP="00324C0A">
      <w:pPr>
        <w:spacing w:before="400" w:after="200"/>
        <w:ind w:left="360" w:firstLine="360"/>
        <w:rPr>
          <w:rFonts w:ascii="Arial" w:eastAsia="Arial" w:hAnsi="Arial" w:cs="Arial"/>
        </w:rPr>
      </w:pPr>
      <w:bookmarkStart w:id="10" w:name="_PAR__10_7d4d2f63_aaf2_453a_bfe6_9fca706"/>
      <w:bookmarkEnd w:id="9"/>
      <w:r>
        <w:rPr>
          <w:rFonts w:ascii="Arial" w:eastAsia="Arial" w:hAnsi="Arial" w:cs="Arial"/>
          <w:szCs w:val="22"/>
        </w:rPr>
        <w:t>COMMITTEE AMENDMENT “      ” to H.P. 1395, L.D. 2080, “An Act to Protect Consumers by Prohibiting the Use of Credit Cards in Sports Wagering”</w:t>
      </w:r>
    </w:p>
    <w:p w:rsidR="00324C0A" w:rsidP="00324C0A">
      <w:pPr>
        <w:ind w:left="360" w:firstLine="360"/>
        <w:rPr>
          <w:rFonts w:ascii="Arial" w:eastAsia="Arial" w:hAnsi="Arial" w:cs="Arial"/>
        </w:rPr>
      </w:pPr>
      <w:bookmarkStart w:id="11" w:name="_INSTRUCTION__c0931c1a_f057_4098_90a8_61"/>
      <w:bookmarkStart w:id="12" w:name="_PAR__11_d0d6d5cc_460c_462e_9088_6505f10"/>
      <w:bookmarkEnd w:id="0"/>
      <w:bookmarkEnd w:id="10"/>
      <w:r>
        <w:rPr>
          <w:rFonts w:ascii="Arial" w:eastAsia="Arial" w:hAnsi="Arial" w:cs="Arial"/>
        </w:rPr>
        <w:t>Amend the bill by striking out the title and substituting the following:</w:t>
      </w:r>
    </w:p>
    <w:p w:rsidR="00324C0A" w:rsidP="00324C0A">
      <w:pPr>
        <w:ind w:left="360"/>
        <w:rPr>
          <w:rFonts w:ascii="Arial" w:eastAsia="Arial" w:hAnsi="Arial" w:cs="Arial"/>
        </w:rPr>
      </w:pPr>
      <w:bookmarkStart w:id="13" w:name="_PAR__12_b2b774af_093d_44d6_b885_75cf0a6"/>
      <w:bookmarkEnd w:id="12"/>
      <w:r>
        <w:rPr>
          <w:rFonts w:ascii="Arial" w:eastAsia="Arial" w:hAnsi="Arial" w:cs="Arial"/>
          <w:b/>
        </w:rPr>
        <w:t>'An Act to Protect Consumers by Prohibiting the Use of Credit Cards in Sports Wagering and Internet Gaming'</w:t>
      </w:r>
    </w:p>
    <w:p w:rsidR="00324C0A" w:rsidP="00324C0A">
      <w:pPr>
        <w:ind w:left="360" w:firstLine="360"/>
        <w:rPr>
          <w:rFonts w:ascii="Arial" w:eastAsia="Arial" w:hAnsi="Arial" w:cs="Arial"/>
        </w:rPr>
      </w:pPr>
      <w:bookmarkStart w:id="14" w:name="_INSTRUCTION__43c6a2a7_85bb_4354_84ab_ee"/>
      <w:bookmarkStart w:id="15" w:name="_PAR__13_d5e095dd_3553_41e9_8b87_1663873"/>
      <w:bookmarkEnd w:id="11"/>
      <w:bookmarkEnd w:id="13"/>
      <w:r>
        <w:rPr>
          <w:rFonts w:ascii="Arial" w:eastAsia="Arial" w:hAnsi="Arial" w:cs="Arial"/>
        </w:rPr>
        <w:t>Amend the bill by striking out everything after the enacting clause and inserting the following:</w:t>
      </w:r>
    </w:p>
    <w:p w:rsidR="00324C0A" w:rsidP="00324C0A">
      <w:pPr>
        <w:ind w:left="360" w:firstLine="360"/>
        <w:rPr>
          <w:rFonts w:ascii="Arial" w:eastAsia="Arial" w:hAnsi="Arial" w:cs="Arial"/>
        </w:rPr>
      </w:pPr>
      <w:bookmarkStart w:id="16" w:name="_PAR__14_c8bb3b43_cc83_4244_804d_e4e532f"/>
      <w:bookmarkEnd w:id="15"/>
      <w:r>
        <w:rPr>
          <w:rFonts w:ascii="Arial" w:eastAsia="Arial" w:hAnsi="Arial" w:cs="Arial"/>
        </w:rPr>
        <w:t>'</w:t>
      </w:r>
      <w:r>
        <w:rPr>
          <w:rFonts w:ascii="Arial" w:eastAsia="Arial" w:hAnsi="Arial" w:cs="Arial"/>
          <w:b/>
          <w:sz w:val="24"/>
        </w:rPr>
        <w:t>Sec. 1.  8 MRSA §1203, sub-§2, ¶C,</w:t>
      </w:r>
      <w:r>
        <w:rPr>
          <w:rFonts w:ascii="Arial" w:eastAsia="Arial" w:hAnsi="Arial" w:cs="Arial"/>
        </w:rPr>
        <w:t xml:space="preserve"> as enacted by PL 2021, c. 681, Pt. J, §6, is amended to read:</w:t>
      </w:r>
    </w:p>
    <w:p w:rsidR="00324C0A" w:rsidP="00324C0A">
      <w:pPr>
        <w:ind w:left="720"/>
        <w:rPr>
          <w:rFonts w:ascii="Arial" w:eastAsia="Arial" w:hAnsi="Arial" w:cs="Arial"/>
        </w:rPr>
      </w:pPr>
      <w:bookmarkStart w:id="17" w:name="_PAR__15_97373083_7c70_434f_870b_99bbb59"/>
      <w:bookmarkEnd w:id="16"/>
      <w:r>
        <w:rPr>
          <w:rFonts w:ascii="Arial" w:eastAsia="Arial" w:hAnsi="Arial" w:cs="Arial"/>
        </w:rPr>
        <w:t>C.  The methods of operation of sports wagering, including but not limited to the permitted systems and methods of wagers; the use of credit and checks by persons making wagers</w:t>
      </w:r>
      <w:r>
        <w:rPr>
          <w:rFonts w:ascii="Arial" w:eastAsia="Arial" w:hAnsi="Arial" w:cs="Arial"/>
          <w:u w:val="single"/>
        </w:rPr>
        <w:t>, which must prohibit a person from making a wager using a credit card</w:t>
      </w:r>
      <w:r>
        <w:rPr>
          <w:rFonts w:ascii="Arial" w:eastAsia="Arial" w:hAnsi="Arial" w:cs="Arial"/>
        </w:rPr>
        <w:t>; the types of wagering receipts that may be used; the method of issuing receipts; the prevention of sports wagering on prohibited sports events; the protection of patrons placing wagers; and the promotion of social responsibility and responsible gaming and display of information on resources for problem gambling at a facility operator's premises or on any mobile application or digital platform used to place wagers;</w:t>
      </w:r>
    </w:p>
    <w:p w:rsidR="00324C0A" w:rsidP="00324C0A">
      <w:pPr>
        <w:ind w:left="360" w:firstLine="360"/>
        <w:rPr>
          <w:rFonts w:ascii="Arial" w:eastAsia="Arial" w:hAnsi="Arial" w:cs="Arial"/>
        </w:rPr>
      </w:pPr>
      <w:bookmarkStart w:id="18" w:name="_PAR__16_5a390573_8f70_433b_9225_fdbcc92"/>
      <w:bookmarkEnd w:id="17"/>
      <w:r>
        <w:rPr>
          <w:rFonts w:ascii="Arial" w:eastAsia="Arial" w:hAnsi="Arial" w:cs="Arial"/>
          <w:b/>
          <w:sz w:val="24"/>
        </w:rPr>
        <w:t>Sec. 2.  8 MRSA §1203, sub-§2, ¶F,</w:t>
      </w:r>
      <w:r>
        <w:rPr>
          <w:rFonts w:ascii="Arial" w:eastAsia="Arial" w:hAnsi="Arial" w:cs="Arial"/>
        </w:rPr>
        <w:t xml:space="preserve"> as enacted by PL 2021, c. 681, Pt. J, §6, is amended to read:</w:t>
      </w:r>
    </w:p>
    <w:p w:rsidR="00324C0A" w:rsidP="00324C0A">
      <w:pPr>
        <w:ind w:left="720"/>
        <w:rPr>
          <w:rFonts w:ascii="Arial" w:eastAsia="Arial" w:hAnsi="Arial" w:cs="Arial"/>
        </w:rPr>
      </w:pPr>
      <w:bookmarkStart w:id="19" w:name="_PAR__17_f49daf11_b775_4ec8_8cfa_b609597"/>
      <w:bookmarkEnd w:id="18"/>
      <w:r>
        <w:rPr>
          <w:rFonts w:ascii="Arial" w:eastAsia="Arial" w:hAnsi="Arial" w:cs="Arial"/>
        </w:rPr>
        <w:t>F.  Minimum design and security requirements for the physical premises of facility operators in which sports wagering is conducted, including but not limited to minimum requirements for the acceptance of wagers at a self-serve kiosk located on the premises and minimum required methods for verifying the identity and age of a person who places a wager with a facility operator, for verifying that the person making a wager is not prohibited from making a wager under section 1213</w:t>
      </w:r>
      <w:r>
        <w:rPr>
          <w:rFonts w:ascii="Arial" w:eastAsia="Arial" w:hAnsi="Arial" w:cs="Arial"/>
          <w:u w:val="single"/>
        </w:rPr>
        <w:t>, for ensuring that a person does not use a credit card to make a wager</w:t>
      </w:r>
      <w:r>
        <w:rPr>
          <w:rFonts w:ascii="Arial" w:eastAsia="Arial" w:hAnsi="Arial" w:cs="Arial"/>
        </w:rPr>
        <w:t xml:space="preserve"> and for requiring the refund of any wager </w:t>
      </w:r>
      <w:bookmarkStart w:id="20" w:name="_PAGE_SPLIT__c1a95ba4_6e9f_4c71_98af_bce"/>
      <w:bookmarkStart w:id="21" w:name="_PAGE__2_ec5975a1_39e1_4975_865a_5c94c5d"/>
      <w:bookmarkStart w:id="22" w:name="_PAR__2_965bfa3b_b16f_4be6_982b_6ec0a682"/>
      <w:bookmarkEnd w:id="1"/>
      <w:bookmarkEnd w:id="19"/>
      <w:r>
        <w:rPr>
          <w:rFonts w:ascii="Arial" w:eastAsia="Arial" w:hAnsi="Arial" w:cs="Arial"/>
        </w:rPr>
        <w:t>d</w:t>
      </w:r>
      <w:bookmarkEnd w:id="20"/>
      <w:r>
        <w:rPr>
          <w:rFonts w:ascii="Arial" w:eastAsia="Arial" w:hAnsi="Arial" w:cs="Arial"/>
        </w:rPr>
        <w:t>etermined to have been placed by a person prohibited from making a wager under section 1213;</w:t>
      </w:r>
    </w:p>
    <w:p w:rsidR="00324C0A" w:rsidP="00324C0A">
      <w:pPr>
        <w:ind w:left="360" w:firstLine="360"/>
        <w:rPr>
          <w:rFonts w:ascii="Arial" w:eastAsia="Arial" w:hAnsi="Arial" w:cs="Arial"/>
        </w:rPr>
      </w:pPr>
      <w:bookmarkStart w:id="23" w:name="_PAR__3_c31300a8_2050_4304_8fb7_0bef384c"/>
      <w:bookmarkEnd w:id="22"/>
      <w:r>
        <w:rPr>
          <w:rFonts w:ascii="Arial" w:eastAsia="Arial" w:hAnsi="Arial" w:cs="Arial"/>
          <w:b/>
          <w:sz w:val="24"/>
        </w:rPr>
        <w:t>Sec. 3.  8 MRSA §1203, sub-§2, ¶G,</w:t>
      </w:r>
      <w:r>
        <w:rPr>
          <w:rFonts w:ascii="Arial" w:eastAsia="Arial" w:hAnsi="Arial" w:cs="Arial"/>
        </w:rPr>
        <w:t xml:space="preserve"> as enacted by PL 2021, c. 681, Pt. J, §6, is amended to read:</w:t>
      </w:r>
    </w:p>
    <w:p w:rsidR="00324C0A" w:rsidP="00324C0A">
      <w:pPr>
        <w:ind w:left="720"/>
        <w:rPr>
          <w:rFonts w:ascii="Arial" w:eastAsia="Arial" w:hAnsi="Arial" w:cs="Arial"/>
        </w:rPr>
      </w:pPr>
      <w:bookmarkStart w:id="24" w:name="_PAR__4_43b3c7d1_df30_4c39_912e_7bbb70d4"/>
      <w:bookmarkEnd w:id="23"/>
      <w:r>
        <w:rPr>
          <w:rFonts w:ascii="Arial" w:eastAsia="Arial" w:hAnsi="Arial" w:cs="Arial"/>
        </w:rPr>
        <w:t>G.  Minimum design and security requirements for mobile applications and digital platforms for the acceptance of wagers by mobile operators, including required methods for verifying the age and identity of a person who places a wager with a mobile operator, for verifying that the person making the wager is physically located in the State and is not prohibited from making a wager under section 1213</w:t>
      </w:r>
      <w:r>
        <w:rPr>
          <w:rFonts w:ascii="Arial" w:eastAsia="Arial" w:hAnsi="Arial" w:cs="Arial"/>
          <w:u w:val="single"/>
        </w:rPr>
        <w:t>, for ensuring that a person does not use a credit card to make a wager</w:t>
      </w:r>
      <w:r>
        <w:rPr>
          <w:rFonts w:ascii="Arial" w:eastAsia="Arial" w:hAnsi="Arial" w:cs="Arial"/>
        </w:rPr>
        <w:t xml:space="preserve"> and for requiring the refund of any wager determined to have been placed by a person prohibited from making a wager under section 1213;</w:t>
      </w:r>
    </w:p>
    <w:p w:rsidR="00324C0A" w:rsidP="00324C0A">
      <w:pPr>
        <w:ind w:left="360" w:firstLine="360"/>
        <w:rPr>
          <w:rFonts w:ascii="Arial" w:eastAsia="Arial" w:hAnsi="Arial" w:cs="Arial"/>
        </w:rPr>
      </w:pPr>
      <w:bookmarkStart w:id="25" w:name="_PAR__5_fdc2d662_c209_414e_8e63_21bdae2f"/>
      <w:bookmarkEnd w:id="24"/>
      <w:r>
        <w:rPr>
          <w:rFonts w:ascii="Arial" w:eastAsia="Arial" w:hAnsi="Arial" w:cs="Arial"/>
          <w:b/>
          <w:sz w:val="24"/>
        </w:rPr>
        <w:t>Sec. 4.  8 MRSA §1214-A</w:t>
      </w:r>
      <w:r>
        <w:rPr>
          <w:rFonts w:ascii="Arial" w:eastAsia="Arial" w:hAnsi="Arial" w:cs="Arial"/>
        </w:rPr>
        <w:t xml:space="preserve"> is enacted to read:</w:t>
      </w:r>
    </w:p>
    <w:p w:rsidR="00324C0A" w:rsidP="00324C0A">
      <w:pPr>
        <w:ind w:left="1080" w:hanging="720"/>
        <w:rPr>
          <w:rFonts w:ascii="Arial" w:eastAsia="Arial" w:hAnsi="Arial" w:cs="Arial"/>
        </w:rPr>
      </w:pPr>
      <w:bookmarkStart w:id="26" w:name="_PAR__6_c4604bb0_3d28_45e9_bec4_afb36fba"/>
      <w:bookmarkEnd w:id="25"/>
      <w:r>
        <w:rPr>
          <w:rFonts w:ascii="Arial" w:eastAsia="Arial" w:hAnsi="Arial" w:cs="Arial"/>
          <w:b/>
          <w:u w:val="single"/>
        </w:rPr>
        <w:t>§1214-A.  Credit cards prohibited</w:t>
      </w:r>
    </w:p>
    <w:p w:rsidR="00324C0A" w:rsidP="00324C0A">
      <w:pPr>
        <w:ind w:left="360" w:firstLine="360"/>
        <w:rPr>
          <w:rFonts w:ascii="Arial" w:eastAsia="Arial" w:hAnsi="Arial" w:cs="Arial"/>
        </w:rPr>
      </w:pPr>
      <w:bookmarkStart w:id="27" w:name="_PAR__7_a1463080_2845_4813_bae7_37d51300"/>
      <w:bookmarkEnd w:id="26"/>
      <w:r>
        <w:rPr>
          <w:rFonts w:ascii="Arial" w:eastAsia="Arial" w:hAnsi="Arial" w:cs="Arial"/>
          <w:u w:val="single"/>
        </w:rPr>
        <w:t>An operator and a management services licensee under section 1209 conducting sports wagering on behalf of an operator may not accept a wager on a sports event from a person using a credit card.</w:t>
      </w:r>
    </w:p>
    <w:p w:rsidR="00324C0A" w:rsidP="00324C0A">
      <w:pPr>
        <w:ind w:left="360" w:firstLine="360"/>
        <w:rPr>
          <w:rFonts w:ascii="Arial" w:eastAsia="Arial" w:hAnsi="Arial" w:cs="Arial"/>
        </w:rPr>
      </w:pPr>
      <w:bookmarkStart w:id="28" w:name="_PAR__8_3e63d19e_94a2_462f_a533_e32d2bd8"/>
      <w:bookmarkEnd w:id="27"/>
      <w:r>
        <w:rPr>
          <w:rFonts w:ascii="Arial" w:eastAsia="Arial" w:hAnsi="Arial" w:cs="Arial"/>
          <w:b/>
          <w:sz w:val="24"/>
        </w:rPr>
        <w:t>Sec. 5.  8 MRSA §1403, sub-§2, ¶A,</w:t>
      </w:r>
      <w:r>
        <w:rPr>
          <w:rFonts w:ascii="Arial" w:eastAsia="Arial" w:hAnsi="Arial" w:cs="Arial"/>
        </w:rPr>
        <w:t xml:space="preserve"> as enacted by PL 2025, c. 538, §4, is amended to read:</w:t>
      </w:r>
    </w:p>
    <w:p w:rsidR="00324C0A" w:rsidP="00324C0A">
      <w:pPr>
        <w:ind w:left="720"/>
        <w:rPr>
          <w:rFonts w:ascii="Arial" w:eastAsia="Arial" w:hAnsi="Arial" w:cs="Arial"/>
        </w:rPr>
      </w:pPr>
      <w:bookmarkStart w:id="29" w:name="_PAR__9_83c5c2e6_18b4_4fa2_bb8f_ed21d998"/>
      <w:bookmarkEnd w:id="28"/>
      <w:r>
        <w:rPr>
          <w:rFonts w:ascii="Arial" w:eastAsia="Arial" w:hAnsi="Arial" w:cs="Arial"/>
        </w:rPr>
        <w:t>A.  The methods of operation of Internet gaming, including but not limited to the permitted systems and methods of wagers; the use of credit and checks by persons making wagers</w:t>
      </w:r>
      <w:r>
        <w:rPr>
          <w:rFonts w:ascii="Arial" w:eastAsia="Arial" w:hAnsi="Arial" w:cs="Arial"/>
          <w:u w:val="single"/>
        </w:rPr>
        <w:t>, which must prohibit a person from making a wager using a credit card</w:t>
      </w:r>
      <w:r>
        <w:rPr>
          <w:rFonts w:ascii="Arial" w:eastAsia="Arial" w:hAnsi="Arial" w:cs="Arial"/>
        </w:rPr>
        <w:t>; the types of wagering receipts that may be used; the method of issuing receipts; the protection of patrons placing wagers; and the promotion of social responsibility and responsible gaming and display of information on resources for problem gambling;</w:t>
      </w:r>
    </w:p>
    <w:p w:rsidR="00324C0A" w:rsidP="00324C0A">
      <w:pPr>
        <w:ind w:left="360" w:firstLine="360"/>
        <w:rPr>
          <w:rFonts w:ascii="Arial" w:eastAsia="Arial" w:hAnsi="Arial" w:cs="Arial"/>
        </w:rPr>
      </w:pPr>
      <w:bookmarkStart w:id="30" w:name="_PAR__10_19829335_7bc9_439d_9eac_6330854"/>
      <w:bookmarkEnd w:id="29"/>
      <w:r>
        <w:rPr>
          <w:rFonts w:ascii="Arial" w:eastAsia="Arial" w:hAnsi="Arial" w:cs="Arial"/>
          <w:b/>
          <w:sz w:val="24"/>
        </w:rPr>
        <w:t>Sec. 6.  8 MRSA §1403, sub-§2, ¶C,</w:t>
      </w:r>
      <w:r>
        <w:rPr>
          <w:rFonts w:ascii="Arial" w:eastAsia="Arial" w:hAnsi="Arial" w:cs="Arial"/>
        </w:rPr>
        <w:t xml:space="preserve"> as enacted by PL 2025, c. 538, §4, is amended to read:</w:t>
      </w:r>
    </w:p>
    <w:p w:rsidR="00324C0A" w:rsidP="00324C0A">
      <w:pPr>
        <w:ind w:left="720"/>
        <w:rPr>
          <w:rFonts w:ascii="Arial" w:eastAsia="Arial" w:hAnsi="Arial" w:cs="Arial"/>
        </w:rPr>
      </w:pPr>
      <w:bookmarkStart w:id="31" w:name="_PAR__11_2e66b21d_5179_4b8a_a837_5211dfa"/>
      <w:bookmarkEnd w:id="30"/>
      <w:r>
        <w:rPr>
          <w:rFonts w:ascii="Arial" w:eastAsia="Arial" w:hAnsi="Arial" w:cs="Arial"/>
        </w:rPr>
        <w:t>C.  Minimum design and security requirements for applications and digital platforms for the acceptance of wagers by operators, including required methods for verifying the age and identity of a person who places a wager with an operator, for verifying that the person making the wager is physically located in the State and is not prohibited from making a wager under section 1412</w:t>
      </w:r>
      <w:r>
        <w:rPr>
          <w:rFonts w:ascii="Arial" w:eastAsia="Arial" w:hAnsi="Arial" w:cs="Arial"/>
          <w:u w:val="single"/>
        </w:rPr>
        <w:t>, for ensuring that a person does not use a credit card to make a wager</w:t>
      </w:r>
      <w:r>
        <w:rPr>
          <w:rFonts w:ascii="Arial" w:eastAsia="Arial" w:hAnsi="Arial" w:cs="Arial"/>
        </w:rPr>
        <w:t xml:space="preserve"> and for requiring the refund of any wager determined to have been placed by a person prohibited from making a wager under section 1412;</w:t>
      </w:r>
    </w:p>
    <w:p w:rsidR="00324C0A" w:rsidP="00324C0A">
      <w:pPr>
        <w:ind w:left="360" w:firstLine="360"/>
        <w:rPr>
          <w:rFonts w:ascii="Arial" w:eastAsia="Arial" w:hAnsi="Arial" w:cs="Arial"/>
        </w:rPr>
      </w:pPr>
      <w:bookmarkStart w:id="32" w:name="_PAR__12_f7aa3852_6a47_45c5_98f5_f04dafa"/>
      <w:bookmarkEnd w:id="31"/>
      <w:r>
        <w:rPr>
          <w:rFonts w:ascii="Arial" w:eastAsia="Arial" w:hAnsi="Arial" w:cs="Arial"/>
          <w:b/>
          <w:sz w:val="24"/>
        </w:rPr>
        <w:t>Sec. 7.  8 MRSA §1412-A</w:t>
      </w:r>
      <w:r>
        <w:rPr>
          <w:rFonts w:ascii="Arial" w:eastAsia="Arial" w:hAnsi="Arial" w:cs="Arial"/>
        </w:rPr>
        <w:t xml:space="preserve"> is enacted to read:</w:t>
      </w:r>
    </w:p>
    <w:p w:rsidR="00324C0A" w:rsidP="00324C0A">
      <w:pPr>
        <w:ind w:left="1080" w:hanging="720"/>
        <w:rPr>
          <w:rFonts w:ascii="Arial" w:eastAsia="Arial" w:hAnsi="Arial" w:cs="Arial"/>
        </w:rPr>
      </w:pPr>
      <w:bookmarkStart w:id="33" w:name="_PAR__13_5d2581fc_9dd6_4fc8_9f22_6d68a7f"/>
      <w:bookmarkEnd w:id="32"/>
      <w:r>
        <w:rPr>
          <w:rFonts w:ascii="Arial" w:eastAsia="Arial" w:hAnsi="Arial" w:cs="Arial"/>
          <w:b/>
          <w:u w:val="single"/>
        </w:rPr>
        <w:t>§1412-A.  Credit cards prohibited</w:t>
      </w:r>
    </w:p>
    <w:p w:rsidR="00324C0A" w:rsidP="00324C0A">
      <w:pPr>
        <w:ind w:left="360" w:firstLine="360"/>
        <w:rPr>
          <w:rFonts w:ascii="Arial" w:eastAsia="Arial" w:hAnsi="Arial" w:cs="Arial"/>
        </w:rPr>
      </w:pPr>
      <w:bookmarkStart w:id="34" w:name="_PAR__14_ced45554_191d_4ba2_bbde_3d53cd5"/>
      <w:bookmarkEnd w:id="33"/>
      <w:r>
        <w:rPr>
          <w:rFonts w:ascii="Arial" w:eastAsia="Arial" w:hAnsi="Arial" w:cs="Arial"/>
          <w:u w:val="single"/>
        </w:rPr>
        <w:t>An operator and a management services licensee under section 1408 conducting Internet gaming on behalf of an operator may not accept a wager from a person using a credit card.</w:t>
      </w:r>
      <w:r>
        <w:rPr>
          <w:rFonts w:ascii="Arial" w:eastAsia="Arial" w:hAnsi="Arial" w:cs="Arial"/>
        </w:rPr>
        <w:t>'</w:t>
      </w:r>
    </w:p>
    <w:p w:rsidR="00324C0A" w:rsidP="00324C0A">
      <w:pPr>
        <w:ind w:left="360" w:firstLine="360"/>
        <w:rPr>
          <w:rFonts w:ascii="Arial" w:eastAsia="Arial" w:hAnsi="Arial" w:cs="Arial"/>
        </w:rPr>
      </w:pPr>
      <w:bookmarkStart w:id="35" w:name="_INSTRUCTION__52a9b8c4_5410_4685_8cb3_d2"/>
      <w:bookmarkStart w:id="36" w:name="_PAR__15_9966560b_b9c7_4108_a0d1_92d5495"/>
      <w:bookmarkEnd w:id="14"/>
      <w:bookmarkEnd w:id="34"/>
      <w:r>
        <w:rPr>
          <w:rFonts w:ascii="Arial" w:eastAsia="Arial" w:hAnsi="Arial" w:cs="Arial"/>
        </w:rPr>
        <w:t>Amend the bill by relettering or renumbering any nonconsecutive Part letter or section number to read consecutively.</w:t>
      </w:r>
    </w:p>
    <w:p w:rsidR="00324C0A" w:rsidP="00324C0A">
      <w:pPr>
        <w:keepNext/>
        <w:spacing w:before="240"/>
        <w:ind w:left="360"/>
        <w:jc w:val="center"/>
        <w:rPr>
          <w:rFonts w:ascii="Arial" w:eastAsia="Arial" w:hAnsi="Arial" w:cs="Arial"/>
        </w:rPr>
      </w:pPr>
      <w:bookmarkStart w:id="37" w:name="_SUMMARY__67dcf186_7ade_4ef1_894b_1f1630"/>
      <w:bookmarkStart w:id="38" w:name="_PAGE__3_fb2f6dea_6f26_4021_b298_d860d34"/>
      <w:bookmarkStart w:id="39" w:name="_PAR__2_c9f6d4d5_ea50_43f0_82f7_db96a9c1"/>
      <w:bookmarkEnd w:id="21"/>
      <w:bookmarkEnd w:id="35"/>
      <w:bookmarkEnd w:id="36"/>
      <w:r>
        <w:rPr>
          <w:rFonts w:ascii="Arial" w:eastAsia="Arial" w:hAnsi="Arial" w:cs="Arial"/>
          <w:b/>
          <w:sz w:val="24"/>
        </w:rPr>
        <w:t>SUMMARY</w:t>
      </w:r>
    </w:p>
    <w:p w:rsidR="00324C0A" w:rsidP="00324C0A">
      <w:pPr>
        <w:ind w:left="360" w:firstLine="360"/>
        <w:rPr>
          <w:rFonts w:ascii="Arial" w:eastAsia="Arial" w:hAnsi="Arial" w:cs="Arial"/>
        </w:rPr>
      </w:pPr>
      <w:bookmarkStart w:id="40" w:name="_PAR__3_1fde456d_f4a4_4e4a_97b0_a010b2f7"/>
      <w:bookmarkEnd w:id="39"/>
      <w:r>
        <w:rPr>
          <w:rFonts w:ascii="Arial" w:eastAsia="Arial" w:hAnsi="Arial" w:cs="Arial"/>
        </w:rPr>
        <w:t>This amendment replaces the bill and changes the title. The amendment prohibits an operator and a management services licensee conducting either sports wagering or Internet gaming on behalf of an operator from accepting wagers from a person using a credit card. It also provides that</w:t>
      </w:r>
      <w:r w:rsidRPr="009F31E8">
        <w:rPr>
          <w:rFonts w:ascii="Arial" w:eastAsia="Arial" w:hAnsi="Arial" w:cs="Arial"/>
        </w:rPr>
        <w:t xml:space="preserve">, when adopting rules for the method of operation of sports wagering and </w:t>
      </w:r>
      <w:r>
        <w:rPr>
          <w:rFonts w:ascii="Arial" w:eastAsia="Arial" w:hAnsi="Arial" w:cs="Arial"/>
        </w:rPr>
        <w:t>I</w:t>
      </w:r>
      <w:r w:rsidRPr="009F31E8">
        <w:rPr>
          <w:rFonts w:ascii="Arial" w:eastAsia="Arial" w:hAnsi="Arial" w:cs="Arial"/>
        </w:rPr>
        <w:t>nternet gaming</w:t>
      </w:r>
      <w:r>
        <w:rPr>
          <w:rFonts w:ascii="Arial" w:eastAsia="Arial" w:hAnsi="Arial" w:cs="Arial"/>
        </w:rPr>
        <w:t xml:space="preserve"> and </w:t>
      </w:r>
      <w:r w:rsidRPr="009F31E8">
        <w:rPr>
          <w:rFonts w:ascii="Arial" w:eastAsia="Arial" w:hAnsi="Arial" w:cs="Arial"/>
        </w:rPr>
        <w:t xml:space="preserve">for the minimum design and security requirements for sports wagering and </w:t>
      </w:r>
      <w:r>
        <w:rPr>
          <w:rFonts w:ascii="Arial" w:eastAsia="Arial" w:hAnsi="Arial" w:cs="Arial"/>
        </w:rPr>
        <w:t>I</w:t>
      </w:r>
      <w:r w:rsidRPr="009F31E8">
        <w:rPr>
          <w:rFonts w:ascii="Arial" w:eastAsia="Arial" w:hAnsi="Arial" w:cs="Arial"/>
        </w:rPr>
        <w:t>nternet gaming,</w:t>
      </w:r>
      <w:r>
        <w:rPr>
          <w:rFonts w:ascii="Arial" w:eastAsia="Arial" w:hAnsi="Arial" w:cs="Arial"/>
        </w:rPr>
        <w:t xml:space="preserve"> the director of the Gambling Control Unit within the Department of Public Safety must ensure that a person does not use a credit card to make a wager.</w:t>
      </w:r>
    </w:p>
    <w:p w:rsidR="00324C0A" w:rsidP="00324C0A">
      <w:pPr>
        <w:keepNext/>
        <w:spacing w:before="60" w:after="60"/>
        <w:ind w:left="360"/>
        <w:jc w:val="center"/>
        <w:rPr>
          <w:rFonts w:ascii="Arial" w:eastAsia="Arial" w:hAnsi="Arial" w:cs="Arial"/>
        </w:rPr>
      </w:pPr>
      <w:bookmarkStart w:id="41" w:name="_FISCAL_NOTE_REQUIRED__ec1f6665_75a0_47e"/>
      <w:bookmarkStart w:id="42" w:name="_PAR__4_76d06179_5d0e_42ba_8be2_1a3cf4c1"/>
      <w:bookmarkEnd w:id="40"/>
      <w:r>
        <w:rPr>
          <w:rFonts w:ascii="Arial" w:eastAsia="Arial" w:hAnsi="Arial" w:cs="Arial"/>
          <w:b/>
        </w:rPr>
        <w:t>FISCAL NOTE REQUIRED</w:t>
      </w:r>
    </w:p>
    <w:p w:rsidR="00000000" w:rsidRPr="00324C0A" w:rsidP="00324C0A">
      <w:pPr>
        <w:spacing w:before="60" w:after="60"/>
        <w:ind w:left="360"/>
        <w:jc w:val="center"/>
        <w:rPr>
          <w:rFonts w:ascii="Arial" w:eastAsia="Arial" w:hAnsi="Arial" w:cs="Arial"/>
          <w:b/>
        </w:rPr>
      </w:pPr>
      <w:bookmarkStart w:id="43" w:name="_PAR__5_d06d4141_9a37_46e3_99df_75751ea5"/>
      <w:bookmarkEnd w:id="42"/>
      <w:r>
        <w:rPr>
          <w:rFonts w:ascii="Arial" w:eastAsia="Arial" w:hAnsi="Arial" w:cs="Arial"/>
          <w:b/>
        </w:rPr>
        <w:t>(See attached)</w:t>
      </w:r>
      <w:bookmarkEnd w:id="37"/>
      <w:bookmarkEnd w:id="38"/>
      <w:bookmarkEnd w:id="41"/>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LR2768,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Protect Consumers by Prohibiting the Use of Credit Cards in Sports Wagering and Internet Gaming</w:t>
    </w:r>
  </w:p>
  <w:p>
    <w:pPr>
      <w:suppressLineNumbers/>
      <w:spacing w:before="0" w:after="0"/>
      <w:jc w:val="center"/>
      <w:rPr>
        <w:rFonts w:ascii="Arial" w:eastAsia="Arial" w:hAnsi="Arial" w:cs="Arial"/>
      </w:rPr>
    </w:pPr>
    <w:r>
      <w:rPr>
        <w:rFonts w:ascii="Arial" w:eastAsia="Arial" w:hAnsi="Arial" w:cs="Arial"/>
        <w:sz w:val="22"/>
      </w:rPr>
      <w:t>L.D. 2080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24C0A"/>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31E8"/>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