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the Scope of Practice of Independent Practice Dental Hygienists</w:t>
      </w:r>
    </w:p>
    <w:p w:rsidR="00136ABB" w:rsidP="00136ABB">
      <w:pPr>
        <w:spacing w:after="240"/>
        <w:ind w:left="360"/>
        <w:jc w:val="right"/>
        <w:rPr>
          <w:rFonts w:ascii="Arial" w:eastAsia="Arial" w:hAnsi="Arial" w:cs="Arial"/>
          <w:caps/>
        </w:rPr>
      </w:pPr>
      <w:bookmarkStart w:id="0" w:name="_AMEND_TITLE__b1d7a7df_ba8d_4a53_80c6_bc"/>
      <w:bookmarkStart w:id="1" w:name="_PAGE__1_f3224703_1bd3_4a47_9cd9_c5682f1"/>
      <w:bookmarkStart w:id="2" w:name="_PAR__2_b18875c1_54f3_46de_83aa_55d32876"/>
      <w:r>
        <w:rPr>
          <w:rFonts w:ascii="Arial" w:eastAsia="Arial" w:hAnsi="Arial" w:cs="Arial"/>
          <w:caps/>
        </w:rPr>
        <w:t>L.D. 2030</w:t>
      </w:r>
    </w:p>
    <w:p w:rsidR="00136ABB" w:rsidP="00136ABB">
      <w:pPr>
        <w:tabs>
          <w:tab w:val="right" w:pos="8928"/>
        </w:tabs>
        <w:spacing w:after="360"/>
        <w:ind w:left="360"/>
        <w:rPr>
          <w:rFonts w:ascii="Arial" w:eastAsia="Arial" w:hAnsi="Arial" w:cs="Arial"/>
        </w:rPr>
      </w:pPr>
      <w:bookmarkStart w:id="3" w:name="_PAR__3_4d0ced8e_65d3_4731_b0d2_14fe90e0"/>
      <w:bookmarkEnd w:id="2"/>
      <w:r>
        <w:rPr>
          <w:rFonts w:ascii="Arial" w:eastAsia="Arial" w:hAnsi="Arial" w:cs="Arial"/>
        </w:rPr>
        <w:t>Date:</w:t>
      </w:r>
      <w:r>
        <w:rPr>
          <w:rFonts w:ascii="Arial" w:eastAsia="Arial" w:hAnsi="Arial" w:cs="Arial"/>
        </w:rPr>
        <w:tab/>
        <w:t>(Filing No. H-         )</w:t>
      </w:r>
    </w:p>
    <w:p w:rsidR="00136ABB" w:rsidP="00136ABB">
      <w:pPr>
        <w:spacing w:before="600" w:after="300"/>
        <w:ind w:left="360"/>
        <w:jc w:val="center"/>
        <w:outlineLvl w:val="0"/>
        <w:rPr>
          <w:rFonts w:ascii="Arial" w:eastAsia="Arial" w:hAnsi="Arial" w:cs="Arial"/>
        </w:rPr>
      </w:pPr>
      <w:bookmarkStart w:id="4" w:name="_PAR__4_f93a001f_0054_4226_a922_fd8b7c51"/>
      <w:bookmarkEnd w:id="3"/>
      <w:r>
        <w:rPr>
          <w:rFonts w:ascii="Arial" w:eastAsia="Arial" w:hAnsi="Arial" w:cs="Arial"/>
          <w:b/>
          <w:caps/>
          <w:sz w:val="24"/>
          <w:szCs w:val="32"/>
        </w:rPr>
        <w:t xml:space="preserve">Health Coverage, Insurance and Financial Services </w:t>
      </w:r>
    </w:p>
    <w:p w:rsidR="00136ABB" w:rsidP="00136ABB">
      <w:pPr>
        <w:spacing w:before="60" w:after="60"/>
        <w:ind w:left="720"/>
        <w:rPr>
          <w:rFonts w:ascii="Arial" w:eastAsia="Arial" w:hAnsi="Arial" w:cs="Arial"/>
        </w:rPr>
      </w:pPr>
      <w:bookmarkStart w:id="5" w:name="_PAR__5_082fc2c0_892e_4627_bea5_b62a02d2"/>
      <w:bookmarkEnd w:id="4"/>
      <w:r>
        <w:rPr>
          <w:rFonts w:ascii="Arial" w:eastAsia="Arial" w:hAnsi="Arial" w:cs="Arial"/>
        </w:rPr>
        <w:t>Reproduced and distributed under the direction of the Clerk of the House.</w:t>
      </w:r>
    </w:p>
    <w:p w:rsidR="00136ABB" w:rsidP="00136ABB">
      <w:pPr>
        <w:spacing w:before="160" w:after="0"/>
        <w:ind w:left="360"/>
        <w:jc w:val="center"/>
        <w:outlineLvl w:val="0"/>
        <w:rPr>
          <w:rFonts w:ascii="Arial" w:eastAsia="Arial" w:hAnsi="Arial" w:cs="Arial"/>
          <w:b/>
          <w:caps/>
          <w:sz w:val="24"/>
          <w:szCs w:val="32"/>
        </w:rPr>
      </w:pPr>
      <w:bookmarkStart w:id="6" w:name="_PAR__6_49bc40fd_f9b9_4228_9afb_06dcff37"/>
      <w:bookmarkEnd w:id="5"/>
      <w:r>
        <w:rPr>
          <w:rFonts w:ascii="Arial" w:eastAsia="Arial" w:hAnsi="Arial" w:cs="Arial"/>
          <w:b/>
          <w:caps/>
          <w:sz w:val="24"/>
          <w:szCs w:val="32"/>
        </w:rPr>
        <w:t>STATE OF MAINE</w:t>
      </w:r>
    </w:p>
    <w:p w:rsidR="00136ABB" w:rsidP="00136ABB">
      <w:pPr>
        <w:spacing w:after="0"/>
        <w:ind w:left="360"/>
        <w:jc w:val="center"/>
        <w:outlineLvl w:val="0"/>
        <w:rPr>
          <w:rFonts w:ascii="Arial" w:eastAsia="Arial" w:hAnsi="Arial" w:cs="Arial"/>
          <w:b/>
          <w:caps/>
          <w:sz w:val="24"/>
          <w:szCs w:val="32"/>
        </w:rPr>
      </w:pPr>
      <w:bookmarkStart w:id="7" w:name="_PAR__7_2aeb179e_b8b6_4462_92de_27ed7cb3"/>
      <w:bookmarkEnd w:id="6"/>
      <w:r>
        <w:rPr>
          <w:rFonts w:ascii="Arial" w:eastAsia="Arial" w:hAnsi="Arial" w:cs="Arial"/>
          <w:b/>
          <w:caps/>
          <w:sz w:val="24"/>
          <w:szCs w:val="32"/>
        </w:rPr>
        <w:t>HOUSE OF REPRESENTATIVES</w:t>
      </w:r>
    </w:p>
    <w:p w:rsidR="00136ABB" w:rsidP="00136ABB">
      <w:pPr>
        <w:spacing w:after="0"/>
        <w:ind w:left="360"/>
        <w:jc w:val="center"/>
        <w:outlineLvl w:val="0"/>
        <w:rPr>
          <w:rFonts w:ascii="Arial" w:eastAsia="Arial" w:hAnsi="Arial" w:cs="Arial"/>
          <w:b/>
          <w:caps/>
          <w:sz w:val="24"/>
          <w:szCs w:val="32"/>
        </w:rPr>
      </w:pPr>
      <w:bookmarkStart w:id="8" w:name="_PAR__8_69ff1bef_e945_49fb_9056_1aed1347"/>
      <w:bookmarkEnd w:id="7"/>
      <w:r>
        <w:rPr>
          <w:rFonts w:ascii="Arial" w:eastAsia="Arial" w:hAnsi="Arial" w:cs="Arial"/>
          <w:b/>
          <w:caps/>
          <w:sz w:val="24"/>
          <w:szCs w:val="32"/>
        </w:rPr>
        <w:t>132nd Legislature</w:t>
      </w:r>
    </w:p>
    <w:p w:rsidR="00136ABB" w:rsidP="00136ABB">
      <w:pPr>
        <w:spacing w:after="0"/>
        <w:ind w:left="360"/>
        <w:jc w:val="center"/>
        <w:outlineLvl w:val="0"/>
        <w:rPr>
          <w:rFonts w:ascii="Arial" w:eastAsia="Arial" w:hAnsi="Arial" w:cs="Arial"/>
          <w:b/>
          <w:caps/>
          <w:sz w:val="24"/>
          <w:szCs w:val="32"/>
        </w:rPr>
      </w:pPr>
      <w:bookmarkStart w:id="9" w:name="_PAR__9_e8d84f16_b273_489c_b27b_a70a6394"/>
      <w:bookmarkEnd w:id="8"/>
      <w:r>
        <w:rPr>
          <w:rFonts w:ascii="Arial" w:eastAsia="Arial" w:hAnsi="Arial" w:cs="Arial"/>
          <w:b/>
          <w:caps/>
          <w:sz w:val="24"/>
          <w:szCs w:val="32"/>
        </w:rPr>
        <w:t>Second Regular Session</w:t>
      </w:r>
    </w:p>
    <w:p w:rsidR="00136ABB" w:rsidP="00136ABB">
      <w:pPr>
        <w:spacing w:before="400" w:after="200"/>
        <w:ind w:left="360" w:firstLine="360"/>
        <w:rPr>
          <w:rFonts w:ascii="Arial" w:eastAsia="Arial" w:hAnsi="Arial" w:cs="Arial"/>
        </w:rPr>
      </w:pPr>
      <w:bookmarkStart w:id="10" w:name="_PAR__10_be62ef9c_f604_4d02_864d_b91f882"/>
      <w:bookmarkEnd w:id="9"/>
      <w:r>
        <w:rPr>
          <w:rFonts w:ascii="Arial" w:eastAsia="Arial" w:hAnsi="Arial" w:cs="Arial"/>
          <w:szCs w:val="22"/>
        </w:rPr>
        <w:t>COMMITTEE AMENDMENT “      ” to H.P. 1360, L.D. 2030, “An Act to Expand the Scope of Practice of Independent Practice Dental Hygienists”</w:t>
      </w:r>
    </w:p>
    <w:p w:rsidR="00136ABB" w:rsidP="00136ABB">
      <w:pPr>
        <w:ind w:left="360" w:firstLine="360"/>
        <w:rPr>
          <w:rFonts w:ascii="Arial" w:eastAsia="Arial" w:hAnsi="Arial" w:cs="Arial"/>
        </w:rPr>
      </w:pPr>
      <w:bookmarkStart w:id="11" w:name="_INSTRUCTION__65cf7447_1ecd_45fd_9291_40"/>
      <w:bookmarkStart w:id="12" w:name="_PAR__11_b412575b_be60_4667_b462_6c38f28"/>
      <w:bookmarkEnd w:id="0"/>
      <w:bookmarkEnd w:id="10"/>
      <w:r>
        <w:rPr>
          <w:rFonts w:ascii="Arial" w:eastAsia="Arial" w:hAnsi="Arial" w:cs="Arial"/>
        </w:rPr>
        <w:t>Amend the bill by inserting after the title and before the enacting clause the following:</w:t>
      </w:r>
    </w:p>
    <w:p w:rsidR="00136ABB" w:rsidP="00136ABB">
      <w:pPr>
        <w:ind w:left="360" w:firstLine="360"/>
        <w:rPr>
          <w:rFonts w:ascii="Arial" w:eastAsia="Arial" w:hAnsi="Arial" w:cs="Arial"/>
        </w:rPr>
      </w:pPr>
      <w:bookmarkStart w:id="13" w:name="_PAR__12_c608c7a4_0e71_4c68_a1ab_e0264cf"/>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136ABB" w:rsidP="00136ABB">
      <w:pPr>
        <w:ind w:left="360" w:firstLine="360"/>
        <w:rPr>
          <w:rFonts w:ascii="Arial" w:eastAsia="Arial" w:hAnsi="Arial" w:cs="Arial"/>
        </w:rPr>
      </w:pPr>
      <w:bookmarkStart w:id="14" w:name="_PAR__13_2a568718_db4b_4de8_a8fc_df6a67b"/>
      <w:bookmarkEnd w:id="13"/>
      <w:r>
        <w:rPr>
          <w:rFonts w:ascii="Arial" w:eastAsia="Arial" w:hAnsi="Arial" w:cs="Arial"/>
          <w:b/>
          <w:sz w:val="24"/>
        </w:rPr>
        <w:t>Whereas,</w:t>
      </w:r>
      <w:r>
        <w:rPr>
          <w:rFonts w:ascii="Arial" w:eastAsia="Arial" w:hAnsi="Arial" w:cs="Arial"/>
        </w:rPr>
        <w:t xml:space="preserve"> </w:t>
      </w:r>
      <w:r w:rsidRPr="0018363D">
        <w:rPr>
          <w:rFonts w:ascii="Arial" w:eastAsia="Arial" w:hAnsi="Arial" w:cs="Arial"/>
        </w:rPr>
        <w:t>this legislation allows an independent practice dental hygienist to administer local anesthesia or nitrous oxide analgesia as long as the independent practice dental hygienist has the appropriate licensure authority; and</w:t>
      </w:r>
    </w:p>
    <w:p w:rsidR="00136ABB" w:rsidP="00136ABB">
      <w:pPr>
        <w:ind w:left="360" w:firstLine="360"/>
        <w:rPr>
          <w:rFonts w:ascii="Arial" w:eastAsia="Arial" w:hAnsi="Arial" w:cs="Arial"/>
        </w:rPr>
      </w:pPr>
      <w:bookmarkStart w:id="15" w:name="_PAR__14_48162a10_2c6f_46be_8941_08dba7d"/>
      <w:bookmarkEnd w:id="14"/>
      <w:r>
        <w:rPr>
          <w:rFonts w:ascii="Arial" w:eastAsia="Arial" w:hAnsi="Arial" w:cs="Arial"/>
          <w:b/>
          <w:sz w:val="24"/>
        </w:rPr>
        <w:t>Whereas,</w:t>
      </w:r>
      <w:r>
        <w:rPr>
          <w:rFonts w:ascii="Arial" w:eastAsia="Arial" w:hAnsi="Arial" w:cs="Arial"/>
        </w:rPr>
        <w:t xml:space="preserve"> </w:t>
      </w:r>
      <w:r w:rsidRPr="0018363D">
        <w:rPr>
          <w:rFonts w:ascii="Arial" w:eastAsia="Arial" w:hAnsi="Arial" w:cs="Arial"/>
        </w:rPr>
        <w:t>this legislation will provide more opportunities for persons in need of dental cleanings and other preventive dental services to access these services through an independent</w:t>
      </w:r>
      <w:r>
        <w:rPr>
          <w:rFonts w:ascii="Arial" w:eastAsia="Arial" w:hAnsi="Arial" w:cs="Arial"/>
        </w:rPr>
        <w:t xml:space="preserve"> practice</w:t>
      </w:r>
      <w:r w:rsidRPr="0018363D">
        <w:rPr>
          <w:rFonts w:ascii="Arial" w:eastAsia="Arial" w:hAnsi="Arial" w:cs="Arial"/>
        </w:rPr>
        <w:t xml:space="preserve"> dental hygienist; and</w:t>
      </w:r>
    </w:p>
    <w:p w:rsidR="00136ABB" w:rsidP="00136ABB">
      <w:pPr>
        <w:ind w:left="360" w:firstLine="360"/>
        <w:rPr>
          <w:rFonts w:ascii="Arial" w:eastAsia="Arial" w:hAnsi="Arial" w:cs="Arial"/>
        </w:rPr>
      </w:pPr>
      <w:bookmarkStart w:id="16" w:name="_PAR__15_ad8d92c7_0d85_4b70_b1c4_520c527"/>
      <w:bookmarkEnd w:id="15"/>
      <w:r>
        <w:rPr>
          <w:rFonts w:ascii="Arial" w:eastAsia="Arial" w:hAnsi="Arial" w:cs="Arial"/>
          <w:b/>
          <w:sz w:val="24"/>
        </w:rPr>
        <w:t>Whereas,</w:t>
      </w:r>
      <w:r>
        <w:rPr>
          <w:rFonts w:ascii="Arial" w:eastAsia="Arial" w:hAnsi="Arial" w:cs="Arial"/>
        </w:rPr>
        <w:t xml:space="preserve"> </w:t>
      </w:r>
      <w:r w:rsidRPr="0018363D">
        <w:rPr>
          <w:rFonts w:ascii="Arial" w:eastAsia="Arial" w:hAnsi="Arial" w:cs="Arial"/>
        </w:rPr>
        <w:t>immediate enactment of this legislation is necessary to expand access to oral health care in this State; and</w:t>
      </w:r>
    </w:p>
    <w:p w:rsidR="00136ABB" w:rsidP="00136ABB">
      <w:pPr>
        <w:ind w:left="360" w:firstLine="360"/>
        <w:rPr>
          <w:rFonts w:ascii="Arial" w:eastAsia="Arial" w:hAnsi="Arial" w:cs="Arial"/>
        </w:rPr>
      </w:pPr>
      <w:bookmarkStart w:id="17" w:name="_PAR__16_a6dd92f2_0f28_4cd1_884f_2c54e33"/>
      <w:bookmarkEnd w:id="1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136ABB" w:rsidP="00136ABB">
      <w:pPr>
        <w:ind w:left="360" w:firstLine="360"/>
        <w:rPr>
          <w:rFonts w:ascii="Arial" w:eastAsia="Arial" w:hAnsi="Arial" w:cs="Arial"/>
        </w:rPr>
      </w:pPr>
      <w:bookmarkStart w:id="18" w:name="_INSTRUCTION__aeb4191d_432d_4c37_90d8_a4"/>
      <w:bookmarkStart w:id="19" w:name="_PAR__17_424d8109_8292_4aee_9622_6c4b740"/>
      <w:bookmarkEnd w:id="11"/>
      <w:bookmarkEnd w:id="17"/>
      <w:r>
        <w:rPr>
          <w:rFonts w:ascii="Arial" w:eastAsia="Arial" w:hAnsi="Arial" w:cs="Arial"/>
        </w:rPr>
        <w:t>Amend the bill by adding before the summary the following:</w:t>
      </w:r>
    </w:p>
    <w:p w:rsidR="00136ABB" w:rsidP="00136ABB">
      <w:pPr>
        <w:ind w:left="360" w:firstLine="360"/>
        <w:rPr>
          <w:rFonts w:ascii="Arial" w:eastAsia="Arial" w:hAnsi="Arial" w:cs="Arial"/>
        </w:rPr>
      </w:pPr>
      <w:bookmarkStart w:id="20" w:name="_PAR__18_796ba990_49e0_484d_a95f_5166929"/>
      <w:bookmarkEnd w:id="19"/>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136ABB" w:rsidP="00136ABB">
      <w:pPr>
        <w:ind w:left="360" w:firstLine="360"/>
        <w:rPr>
          <w:rFonts w:ascii="Arial" w:eastAsia="Arial" w:hAnsi="Arial" w:cs="Arial"/>
        </w:rPr>
      </w:pPr>
      <w:bookmarkStart w:id="21" w:name="_INSTRUCTION__0c39653d_1add_4cbd_acb9_c4"/>
      <w:bookmarkStart w:id="22" w:name="_PAR__19_9bab3862_c6fc_4c24_993b_6cfcc23"/>
      <w:bookmarkEnd w:id="18"/>
      <w:bookmarkEnd w:id="20"/>
      <w:r>
        <w:rPr>
          <w:rFonts w:ascii="Arial" w:eastAsia="Arial" w:hAnsi="Arial" w:cs="Arial"/>
        </w:rPr>
        <w:t>Amend the bill by relettering or renumbering any nonconsecutive Part letter or section number to read consecutively.</w:t>
      </w:r>
    </w:p>
    <w:p w:rsidR="00136ABB" w:rsidP="00136ABB">
      <w:pPr>
        <w:keepNext/>
        <w:spacing w:before="240"/>
        <w:ind w:left="360"/>
        <w:jc w:val="center"/>
        <w:rPr>
          <w:rFonts w:ascii="Arial" w:eastAsia="Arial" w:hAnsi="Arial" w:cs="Arial"/>
        </w:rPr>
      </w:pPr>
      <w:bookmarkStart w:id="23" w:name="_SUMMARY__8fa5db45_31c4_4e4a_8b2c_ad1da1"/>
      <w:bookmarkStart w:id="24" w:name="_PAR__20_57e44b3f_f659_4f3b_a395_a883454"/>
      <w:bookmarkEnd w:id="21"/>
      <w:bookmarkEnd w:id="22"/>
      <w:r>
        <w:rPr>
          <w:rFonts w:ascii="Arial" w:eastAsia="Arial" w:hAnsi="Arial" w:cs="Arial"/>
          <w:b/>
          <w:sz w:val="24"/>
        </w:rPr>
        <w:t>SUMMARY</w:t>
      </w:r>
    </w:p>
    <w:p w:rsidR="00000000" w:rsidP="00136ABB">
      <w:pPr>
        <w:ind w:left="360" w:firstLine="360"/>
        <w:rPr>
          <w:rFonts w:ascii="Arial" w:eastAsia="Arial" w:hAnsi="Arial" w:cs="Arial"/>
        </w:rPr>
      </w:pPr>
      <w:bookmarkStart w:id="25" w:name="_PAR__21_b48bce51_6e08_42f7_b1a7_157dc1e"/>
      <w:bookmarkEnd w:id="24"/>
      <w:r>
        <w:rPr>
          <w:rFonts w:ascii="Arial" w:eastAsia="Arial" w:hAnsi="Arial" w:cs="Arial"/>
        </w:rPr>
        <w:t>This amendment adds an emergency preamble and emergency clause to the bill.</w:t>
      </w:r>
      <w:bookmarkEnd w:id="1"/>
      <w:bookmarkEnd w:id="23"/>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LR2700,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Expand the Scope of Practice of Independent Practice Dental Hygienists</w:t>
    </w:r>
  </w:p>
  <w:p>
    <w:pPr>
      <w:suppressLineNumbers/>
      <w:spacing w:before="0" w:after="0"/>
      <w:jc w:val="center"/>
      <w:rPr>
        <w:rFonts w:ascii="Arial" w:eastAsia="Arial" w:hAnsi="Arial" w:cs="Arial"/>
      </w:rPr>
    </w:pPr>
    <w:r>
      <w:rPr>
        <w:rFonts w:ascii="Arial" w:eastAsia="Arial" w:hAnsi="Arial" w:cs="Arial"/>
        <w:sz w:val="22"/>
      </w:rPr>
      <w:t>L.D. 2030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36ABB"/>
    <w:rsid w:val="00142693"/>
    <w:rsid w:val="00166945"/>
    <w:rsid w:val="0018363D"/>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