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Bring Parity Among the Wabanaki Nations Regarding the Generation of Revenues from Gaming</w:t>
      </w:r>
    </w:p>
    <w:p w:rsidR="00EB5CA3" w:rsidP="00EB5CA3">
      <w:pPr>
        <w:spacing w:after="240"/>
        <w:ind w:left="360"/>
        <w:jc w:val="right"/>
        <w:rPr>
          <w:rFonts w:ascii="Arial" w:eastAsia="Arial" w:hAnsi="Arial" w:cs="Arial"/>
          <w:caps/>
        </w:rPr>
      </w:pPr>
      <w:bookmarkStart w:id="0" w:name="_AMEND_TITLE__f5c552b8_beb3_4732_8513_e8"/>
      <w:bookmarkStart w:id="1" w:name="_PAGE__1_51a760c9_7cbb_44e6_9d1a_b20b475"/>
      <w:bookmarkStart w:id="2" w:name="_PAR__2_717bfca1_d368_40bd_96e6_0d7370e6"/>
      <w:r>
        <w:rPr>
          <w:rFonts w:ascii="Arial" w:eastAsia="Arial" w:hAnsi="Arial" w:cs="Arial"/>
          <w:caps/>
        </w:rPr>
        <w:t>L.D. 1851</w:t>
      </w:r>
    </w:p>
    <w:p w:rsidR="00EB5CA3" w:rsidP="00EB5CA3">
      <w:pPr>
        <w:tabs>
          <w:tab w:val="right" w:pos="8928"/>
        </w:tabs>
        <w:spacing w:after="360"/>
        <w:ind w:left="360"/>
        <w:rPr>
          <w:rFonts w:ascii="Arial" w:eastAsia="Arial" w:hAnsi="Arial" w:cs="Arial"/>
        </w:rPr>
      </w:pPr>
      <w:bookmarkStart w:id="3" w:name="_PAR__3_b1783e61_fda0_4d7e_9e6b_f753d294"/>
      <w:bookmarkEnd w:id="2"/>
      <w:r>
        <w:rPr>
          <w:rFonts w:ascii="Arial" w:eastAsia="Arial" w:hAnsi="Arial" w:cs="Arial"/>
        </w:rPr>
        <w:t>Date:</w:t>
      </w:r>
      <w:r>
        <w:rPr>
          <w:rFonts w:ascii="Arial" w:eastAsia="Arial" w:hAnsi="Arial" w:cs="Arial"/>
        </w:rPr>
        <w:tab/>
        <w:t>(Filing No. H-         )</w:t>
      </w:r>
    </w:p>
    <w:p w:rsidR="00EB5CA3" w:rsidP="00EB5CA3">
      <w:pPr>
        <w:spacing w:before="600" w:after="300"/>
        <w:ind w:left="360"/>
        <w:jc w:val="center"/>
        <w:outlineLvl w:val="0"/>
        <w:rPr>
          <w:rFonts w:ascii="Arial" w:eastAsia="Arial" w:hAnsi="Arial" w:cs="Arial"/>
        </w:rPr>
      </w:pPr>
      <w:bookmarkStart w:id="4" w:name="_PAR__4_19104fff_2a7b_4fd8_9990_0e2308bc"/>
      <w:bookmarkEnd w:id="3"/>
      <w:r>
        <w:rPr>
          <w:rFonts w:ascii="Arial" w:eastAsia="Arial" w:hAnsi="Arial" w:cs="Arial"/>
          <w:b/>
          <w:caps/>
          <w:sz w:val="24"/>
          <w:szCs w:val="32"/>
        </w:rPr>
        <w:t xml:space="preserve">Veterans and Legal Affairs </w:t>
      </w:r>
    </w:p>
    <w:p w:rsidR="00EB5CA3" w:rsidP="00EB5CA3">
      <w:pPr>
        <w:spacing w:before="60" w:after="60"/>
        <w:ind w:left="720"/>
        <w:rPr>
          <w:rFonts w:ascii="Arial" w:eastAsia="Arial" w:hAnsi="Arial" w:cs="Arial"/>
        </w:rPr>
      </w:pPr>
      <w:bookmarkStart w:id="5" w:name="_PAR__5_c4986f17_be28_4c88_9472_aaa83883"/>
      <w:bookmarkEnd w:id="4"/>
      <w:r>
        <w:rPr>
          <w:rFonts w:ascii="Arial" w:eastAsia="Arial" w:hAnsi="Arial" w:cs="Arial"/>
        </w:rPr>
        <w:t>Reproduced and distributed under the direction of the Clerk of the House.</w:t>
      </w:r>
    </w:p>
    <w:p w:rsidR="00EB5CA3" w:rsidP="00EB5CA3">
      <w:pPr>
        <w:spacing w:before="160" w:after="0"/>
        <w:ind w:left="360"/>
        <w:jc w:val="center"/>
        <w:outlineLvl w:val="0"/>
        <w:rPr>
          <w:rFonts w:ascii="Arial" w:eastAsia="Arial" w:hAnsi="Arial" w:cs="Arial"/>
          <w:b/>
          <w:caps/>
          <w:sz w:val="24"/>
          <w:szCs w:val="32"/>
        </w:rPr>
      </w:pPr>
      <w:bookmarkStart w:id="6" w:name="_PAR__6_782319a7_63c2_4719_9efa_36974718"/>
      <w:bookmarkEnd w:id="5"/>
      <w:r>
        <w:rPr>
          <w:rFonts w:ascii="Arial" w:eastAsia="Arial" w:hAnsi="Arial" w:cs="Arial"/>
          <w:b/>
          <w:caps/>
          <w:sz w:val="24"/>
          <w:szCs w:val="32"/>
        </w:rPr>
        <w:t>STATE OF MAINE</w:t>
      </w:r>
    </w:p>
    <w:p w:rsidR="00EB5CA3" w:rsidP="00EB5CA3">
      <w:pPr>
        <w:spacing w:after="0"/>
        <w:ind w:left="360"/>
        <w:jc w:val="center"/>
        <w:outlineLvl w:val="0"/>
        <w:rPr>
          <w:rFonts w:ascii="Arial" w:eastAsia="Arial" w:hAnsi="Arial" w:cs="Arial"/>
          <w:b/>
          <w:caps/>
          <w:sz w:val="24"/>
          <w:szCs w:val="32"/>
        </w:rPr>
      </w:pPr>
      <w:bookmarkStart w:id="7" w:name="_PAR__7_fec8e4fd_eac4_40e0_b9da_ab9c8ff9"/>
      <w:bookmarkEnd w:id="6"/>
      <w:r>
        <w:rPr>
          <w:rFonts w:ascii="Arial" w:eastAsia="Arial" w:hAnsi="Arial" w:cs="Arial"/>
          <w:b/>
          <w:caps/>
          <w:sz w:val="24"/>
          <w:szCs w:val="32"/>
        </w:rPr>
        <w:t>HOUSE OF REPRESENTATIVES</w:t>
      </w:r>
    </w:p>
    <w:p w:rsidR="00EB5CA3" w:rsidP="00EB5CA3">
      <w:pPr>
        <w:spacing w:after="0"/>
        <w:ind w:left="360"/>
        <w:jc w:val="center"/>
        <w:outlineLvl w:val="0"/>
        <w:rPr>
          <w:rFonts w:ascii="Arial" w:eastAsia="Arial" w:hAnsi="Arial" w:cs="Arial"/>
          <w:b/>
          <w:caps/>
          <w:sz w:val="24"/>
          <w:szCs w:val="32"/>
        </w:rPr>
      </w:pPr>
      <w:bookmarkStart w:id="8" w:name="_PAR__8_c3fcef9d_1690_43ba_95cf_d6db282b"/>
      <w:bookmarkEnd w:id="7"/>
      <w:r>
        <w:rPr>
          <w:rFonts w:ascii="Arial" w:eastAsia="Arial" w:hAnsi="Arial" w:cs="Arial"/>
          <w:b/>
          <w:caps/>
          <w:sz w:val="24"/>
          <w:szCs w:val="32"/>
        </w:rPr>
        <w:t>132nd Legislature</w:t>
      </w:r>
    </w:p>
    <w:p w:rsidR="00EB5CA3" w:rsidP="00EB5CA3">
      <w:pPr>
        <w:spacing w:after="0"/>
        <w:ind w:left="360"/>
        <w:jc w:val="center"/>
        <w:outlineLvl w:val="0"/>
        <w:rPr>
          <w:rFonts w:ascii="Arial" w:eastAsia="Arial" w:hAnsi="Arial" w:cs="Arial"/>
          <w:b/>
          <w:caps/>
          <w:sz w:val="24"/>
          <w:szCs w:val="32"/>
        </w:rPr>
      </w:pPr>
      <w:bookmarkStart w:id="9" w:name="_PAR__9_cb61a8ee_65f2_43b9_ab0b_b5f1a8a9"/>
      <w:bookmarkEnd w:id="8"/>
      <w:r>
        <w:rPr>
          <w:rFonts w:ascii="Arial" w:eastAsia="Arial" w:hAnsi="Arial" w:cs="Arial"/>
          <w:b/>
          <w:caps/>
          <w:sz w:val="24"/>
          <w:szCs w:val="32"/>
        </w:rPr>
        <w:t>Second Regular Session</w:t>
      </w:r>
    </w:p>
    <w:p w:rsidR="00EB5CA3" w:rsidP="00EB5CA3">
      <w:pPr>
        <w:spacing w:before="400" w:after="200"/>
        <w:ind w:left="360" w:firstLine="360"/>
        <w:rPr>
          <w:rFonts w:ascii="Arial" w:eastAsia="Arial" w:hAnsi="Arial" w:cs="Arial"/>
        </w:rPr>
      </w:pPr>
      <w:bookmarkStart w:id="10" w:name="_PAR__10_899e69b8_2f0e_4fe6_be4f_4f97e9f"/>
      <w:bookmarkEnd w:id="9"/>
      <w:r>
        <w:rPr>
          <w:rFonts w:ascii="Arial" w:eastAsia="Arial" w:hAnsi="Arial" w:cs="Arial"/>
          <w:szCs w:val="22"/>
        </w:rPr>
        <w:t>COMMITTEE AMENDMENT “      ” to H.P. 1235, L.D. 1851, “An Act to Bring Parity Among the Wabanaki Nations Regarding the Generation of Revenues from Gaming”</w:t>
      </w:r>
    </w:p>
    <w:p w:rsidR="00EB5CA3" w:rsidP="00EB5CA3">
      <w:pPr>
        <w:ind w:left="360" w:firstLine="360"/>
        <w:rPr>
          <w:rFonts w:ascii="Arial" w:eastAsia="Arial" w:hAnsi="Arial" w:cs="Arial"/>
        </w:rPr>
      </w:pPr>
      <w:bookmarkStart w:id="11" w:name="_INSTRUCTION__c14509b5_4077_47ce_833f_36"/>
      <w:bookmarkStart w:id="12" w:name="_PAR__11_6bb2684a_2998_4184_91b6_40b91a8"/>
      <w:bookmarkEnd w:id="0"/>
      <w:bookmarkEnd w:id="10"/>
      <w:r>
        <w:rPr>
          <w:rFonts w:ascii="Arial" w:eastAsia="Arial" w:hAnsi="Arial" w:cs="Arial"/>
        </w:rPr>
        <w:t>Amend the bill by striking out everything after the enacting clause and inserting the following:</w:t>
      </w:r>
    </w:p>
    <w:p w:rsidR="00EB5CA3" w:rsidP="00EB5CA3">
      <w:pPr>
        <w:ind w:left="360" w:firstLine="360"/>
        <w:rPr>
          <w:rFonts w:ascii="Arial" w:eastAsia="Arial" w:hAnsi="Arial" w:cs="Arial"/>
        </w:rPr>
      </w:pPr>
      <w:bookmarkStart w:id="13" w:name="_PAR__12_71be4461_2616_4159_af03_3000659"/>
      <w:bookmarkEnd w:id="12"/>
      <w:r>
        <w:rPr>
          <w:rFonts w:ascii="Arial" w:eastAsia="Arial" w:hAnsi="Arial" w:cs="Arial"/>
        </w:rPr>
        <w:t>'</w:t>
      </w:r>
      <w:r>
        <w:rPr>
          <w:rFonts w:ascii="Arial" w:eastAsia="Arial" w:hAnsi="Arial" w:cs="Arial"/>
          <w:b/>
          <w:sz w:val="24"/>
        </w:rPr>
        <w:t>Sec. 1.  8 MRSA §1036, sub-§1,</w:t>
      </w:r>
      <w:r>
        <w:rPr>
          <w:rFonts w:ascii="Arial" w:eastAsia="Arial" w:hAnsi="Arial" w:cs="Arial"/>
        </w:rPr>
        <w:t xml:space="preserve"> as amended by PL 2011, c. 417, §7, is further amended to read:</w:t>
      </w:r>
    </w:p>
    <w:p w:rsidR="00EB5CA3" w:rsidP="00EB5CA3">
      <w:pPr>
        <w:ind w:left="360" w:firstLine="360"/>
        <w:rPr>
          <w:rFonts w:ascii="Arial" w:eastAsia="Arial" w:hAnsi="Arial" w:cs="Arial"/>
        </w:rPr>
      </w:pPr>
      <w:bookmarkStart w:id="14" w:name="_PAR__13_ab55170d_a457_4612_b29d_0203f70"/>
      <w:bookmarkEnd w:id="13"/>
      <w:r>
        <w:rPr>
          <w:rFonts w:ascii="Arial" w:eastAsia="Arial" w:hAnsi="Arial" w:cs="Arial"/>
          <w:b/>
        </w:rPr>
        <w:t xml:space="preserve">1.  Distribution for administrative expenses of board. </w:t>
      </w:r>
      <w:r>
        <w:rPr>
          <w:rFonts w:ascii="Arial" w:eastAsia="Arial" w:hAnsi="Arial" w:cs="Arial"/>
        </w:rPr>
        <w:t xml:space="preserve"> </w:t>
      </w:r>
      <w:r>
        <w:rPr>
          <w:rFonts w:ascii="Arial" w:eastAsia="Arial" w:hAnsi="Arial" w:cs="Arial"/>
          <w:strike/>
        </w:rPr>
        <w:t>A</w:t>
      </w:r>
      <w:r>
        <w:rPr>
          <w:rFonts w:ascii="Arial" w:eastAsia="Arial" w:hAnsi="Arial" w:cs="Arial"/>
        </w:rPr>
        <w:t xml:space="preserve"> </w:t>
      </w:r>
      <w:r>
        <w:rPr>
          <w:rFonts w:ascii="Arial" w:eastAsia="Arial" w:hAnsi="Arial" w:cs="Arial"/>
          <w:u w:val="single"/>
        </w:rPr>
        <w:t>Prior to August 1, 2026, a</w:t>
      </w:r>
      <w:r>
        <w:rPr>
          <w:rFonts w:ascii="Arial" w:eastAsia="Arial" w:hAnsi="Arial" w:cs="Arial"/>
        </w:rPr>
        <w:t xml:space="preserve"> slot machine operator licensed under section 1011, subsection 2 or a casino operator that is a commercial track that was licensed to operate slot machines under section 1011, subsection 2 on January 1, 2011 shall collect and distribute 1% of gross slot machine income to the Treasurer of State for deposit in the General Fund for the administrative expenses of the board. </w:t>
      </w:r>
      <w:r>
        <w:rPr>
          <w:rFonts w:ascii="Arial" w:eastAsia="Arial" w:hAnsi="Arial" w:cs="Arial"/>
          <w:u w:val="single"/>
        </w:rPr>
        <w:t>Beginning August 1, 2026, a slot machine operator licensed under section 1011, subsection 2 or a casino operator that is a commercial track that was licensed to operate slot machines under section 1011, subsection 2 on January 1, 2011 shall collect and distribute 1/2 of 1% of gross slot machine income to the Treasurer of State for deposit in the General Fund for the administrative expenses of the board.</w:t>
      </w:r>
    </w:p>
    <w:p w:rsidR="00EB5CA3" w:rsidP="00EB5CA3">
      <w:pPr>
        <w:ind w:left="360" w:firstLine="360"/>
        <w:rPr>
          <w:rFonts w:ascii="Arial" w:eastAsia="Arial" w:hAnsi="Arial" w:cs="Arial"/>
        </w:rPr>
      </w:pPr>
      <w:bookmarkStart w:id="15" w:name="_PAR__14_d5f794e2_8240_4c9b_85bd_3354388"/>
      <w:bookmarkEnd w:id="14"/>
      <w:r>
        <w:rPr>
          <w:rFonts w:ascii="Arial" w:eastAsia="Arial" w:hAnsi="Arial" w:cs="Arial"/>
          <w:b/>
          <w:sz w:val="24"/>
        </w:rPr>
        <w:t>Sec. 2.  8 MRSA §1036, sub-§1-A</w:t>
      </w:r>
      <w:r>
        <w:rPr>
          <w:rFonts w:ascii="Arial" w:eastAsia="Arial" w:hAnsi="Arial" w:cs="Arial"/>
        </w:rPr>
        <w:t xml:space="preserve"> is enacted to read:</w:t>
      </w:r>
    </w:p>
    <w:p w:rsidR="00EB5CA3" w:rsidP="00EB5CA3">
      <w:pPr>
        <w:ind w:left="360" w:firstLine="360"/>
        <w:rPr>
          <w:rFonts w:ascii="Arial" w:eastAsia="Arial" w:hAnsi="Arial" w:cs="Arial"/>
        </w:rPr>
      </w:pPr>
      <w:bookmarkStart w:id="16" w:name="_PAR__15_36af48ed_d5d2_4220_ab6c_d83b519"/>
      <w:bookmarkEnd w:id="15"/>
      <w:r>
        <w:rPr>
          <w:rFonts w:ascii="Arial" w:eastAsia="Arial" w:hAnsi="Arial" w:cs="Arial"/>
          <w:b/>
          <w:u w:val="single"/>
        </w:rPr>
        <w:t xml:space="preserve">1-A.  Distribution of gross slot machine income from slot machine operator or casino with commercial track to tribal governments. </w:t>
      </w:r>
      <w:r>
        <w:rPr>
          <w:rFonts w:ascii="Arial" w:eastAsia="Arial" w:hAnsi="Arial" w:cs="Arial"/>
          <w:u w:val="single"/>
        </w:rPr>
        <w:t xml:space="preserve"> Beginning August 1, 2026, a slot machine operator licensed under section 1011, subsection 2 or a casino operator that is a commercial track that was licensed to operate slot machines under section 1011, subsection 2 on January 1, 2011 shall collect and distribute 1/2 of 1% of gross slot machine income to the board. The board shall forward those funds to the Treasurer of State, who shall distribute the funds to the tribal governments of the Houlton Band of Maliseet Indians and the Mi'kmaq Nation. If a tribal government under this subsection receives revenue from the operation of Internet gaming under chapter 39, the tribal government may not receive funds under this subsection and those funds must be distributed to the Treasurer of State for deposit in the General Fund for the administrative expenses of the board.</w:t>
      </w:r>
    </w:p>
    <w:p w:rsidR="00EB5CA3" w:rsidP="00EB5CA3">
      <w:pPr>
        <w:ind w:left="360" w:firstLine="360"/>
        <w:rPr>
          <w:rFonts w:ascii="Arial" w:eastAsia="Arial" w:hAnsi="Arial" w:cs="Arial"/>
        </w:rPr>
      </w:pPr>
      <w:bookmarkStart w:id="17" w:name="_PAGE__2_1a843069_2121_4229_8060_3ef30ef"/>
      <w:bookmarkStart w:id="18" w:name="_PAR__2_6a54d405_241a_49d0_a0b3_a1827e31"/>
      <w:bookmarkEnd w:id="1"/>
      <w:bookmarkEnd w:id="16"/>
      <w:r>
        <w:rPr>
          <w:rFonts w:ascii="Arial" w:eastAsia="Arial" w:hAnsi="Arial" w:cs="Arial"/>
          <w:b/>
          <w:sz w:val="24"/>
        </w:rPr>
        <w:t>Sec. 3.  Appropriations and allocations.</w:t>
      </w:r>
      <w:r>
        <w:rPr>
          <w:rFonts w:ascii="Arial" w:eastAsia="Arial" w:hAnsi="Arial" w:cs="Arial"/>
        </w:rPr>
        <w:t>  The following appropriations and allocations are made.</w:t>
      </w:r>
    </w:p>
    <w:p w:rsidR="00EB5CA3" w:rsidP="00EB5CA3">
      <w:pPr>
        <w:pStyle w:val="BPSParagraphLeftAlign"/>
        <w:suppressAutoHyphens/>
        <w:ind w:left="360"/>
        <w:rPr>
          <w:rFonts w:ascii="Arial" w:eastAsia="Arial" w:hAnsi="Arial" w:cs="Arial"/>
        </w:rPr>
      </w:pPr>
      <w:bookmarkStart w:id="19" w:name="_PAR__3_9d98dc3f_7f0b_4fc6_a874_fdff9990"/>
      <w:bookmarkEnd w:id="18"/>
      <w:r>
        <w:rPr>
          <w:rFonts w:ascii="Arial" w:eastAsia="Arial" w:hAnsi="Arial" w:cs="Arial"/>
          <w:b/>
        </w:rPr>
        <w:t>PUBLIC SAFETY, DEPARTMENT OF</w:t>
      </w:r>
    </w:p>
    <w:p w:rsidR="00EB5CA3" w:rsidP="00EB5CA3">
      <w:pPr>
        <w:pStyle w:val="BPSParagraphLeftAlign"/>
        <w:suppressAutoHyphens/>
        <w:ind w:left="360"/>
        <w:rPr>
          <w:rFonts w:ascii="Arial" w:eastAsia="Arial" w:hAnsi="Arial" w:cs="Arial"/>
        </w:rPr>
      </w:pPr>
      <w:bookmarkStart w:id="20" w:name="_PAR__4_4801a428_b49d_4081_952c_8a32997a"/>
      <w:bookmarkEnd w:id="19"/>
      <w:r>
        <w:rPr>
          <w:rFonts w:ascii="Arial" w:eastAsia="Arial" w:hAnsi="Arial" w:cs="Arial"/>
          <w:b/>
        </w:rPr>
        <w:t>Gambling Control Board Z002</w:t>
      </w:r>
    </w:p>
    <w:p w:rsidR="00EB5CA3" w:rsidP="00EB5CA3">
      <w:pPr>
        <w:ind w:left="360"/>
        <w:rPr>
          <w:rFonts w:ascii="Arial" w:eastAsia="Arial" w:hAnsi="Arial" w:cs="Arial"/>
        </w:rPr>
      </w:pPr>
      <w:bookmarkStart w:id="21" w:name="_PAR__5_dd67e8d8_5193_4297_a68c_a9d3a25d"/>
      <w:bookmarkEnd w:id="20"/>
      <w:r>
        <w:rPr>
          <w:rFonts w:ascii="Arial" w:eastAsia="Arial" w:hAnsi="Arial" w:cs="Arial"/>
        </w:rPr>
        <w:t>Initiative: Provides allocations to allow for the distribution of funding to the tribal governments of the Houlton Band of Maliseet Indians and the Mi'kmaq Nation.</w:t>
      </w:r>
    </w:p>
    <w:tbl>
      <w:tblPr>
        <w:tblStyle w:val="BPSTable"/>
        <w:tblW w:w="0" w:type="auto"/>
        <w:tblInd w:w="360" w:type="dxa"/>
        <w:tblCellMar>
          <w:left w:w="0" w:type="dxa"/>
          <w:right w:w="0" w:type="dxa"/>
        </w:tblCellMar>
        <w:tblLook w:val="04A0"/>
      </w:tblPr>
      <w:tblGrid>
        <w:gridCol w:w="5009"/>
        <w:gridCol w:w="1463"/>
        <w:gridCol w:w="1463"/>
      </w:tblGrid>
      <w:tr w:rsidTr="005C516E">
        <w:tblPrEx>
          <w:tblW w:w="0" w:type="auto"/>
          <w:tblInd w:w="360" w:type="dxa"/>
          <w:tblCellMar>
            <w:left w:w="0" w:type="dxa"/>
            <w:right w:w="0" w:type="dxa"/>
          </w:tblCellMar>
          <w:tblLook w:val="04A0"/>
        </w:tblPrEx>
        <w:tc>
          <w:tcPr>
            <w:tcW w:w="5069" w:type="dxa"/>
          </w:tcPr>
          <w:p w:rsidR="00EB5CA3" w:rsidP="005C516E">
            <w:pPr>
              <w:spacing w:before="0" w:after="0"/>
              <w:rPr>
                <w:rFonts w:ascii="Arial" w:eastAsia="Arial" w:hAnsi="Arial" w:cs="Arial"/>
              </w:rPr>
            </w:pPr>
            <w:bookmarkStart w:id="22" w:name="_PAR__6_f721a06f_d7a3_49c5_aa6d_e4b4fcf2"/>
            <w:bookmarkStart w:id="23" w:name="_LINE__7_3f7cf740_e0f2_4473_b206_69fe6aa"/>
            <w:bookmarkEnd w:id="21"/>
            <w:r>
              <w:rPr>
                <w:rFonts w:ascii="Arial" w:eastAsia="Arial" w:hAnsi="Arial" w:cs="Arial"/>
                <w:b/>
              </w:rPr>
              <w:t>OTHER SPECIAL REVENUE FUNDS</w:t>
            </w:r>
            <w:bookmarkEnd w:id="23"/>
          </w:p>
        </w:tc>
        <w:tc>
          <w:tcPr>
            <w:tcW w:w="1469" w:type="dxa"/>
          </w:tcPr>
          <w:p w:rsidR="00EB5CA3" w:rsidP="005C516E">
            <w:pPr>
              <w:spacing w:before="0" w:after="0"/>
              <w:jc w:val="right"/>
              <w:rPr>
                <w:rFonts w:ascii="Arial" w:eastAsia="Arial" w:hAnsi="Arial" w:cs="Arial"/>
              </w:rPr>
            </w:pPr>
            <w:bookmarkStart w:id="24" w:name="_LINE__7_28501e9c_f731_4e3d_a6fc_717fa2a"/>
            <w:r>
              <w:rPr>
                <w:rFonts w:ascii="Arial" w:eastAsia="Arial" w:hAnsi="Arial" w:cs="Arial"/>
                <w:b/>
              </w:rPr>
              <w:t>2025-26</w:t>
            </w:r>
            <w:bookmarkEnd w:id="24"/>
          </w:p>
        </w:tc>
        <w:tc>
          <w:tcPr>
            <w:tcW w:w="1469" w:type="dxa"/>
          </w:tcPr>
          <w:p w:rsidR="00EB5CA3" w:rsidP="005C516E">
            <w:pPr>
              <w:spacing w:before="0" w:after="0"/>
              <w:jc w:val="right"/>
              <w:rPr>
                <w:rFonts w:ascii="Arial" w:eastAsia="Arial" w:hAnsi="Arial" w:cs="Arial"/>
              </w:rPr>
            </w:pPr>
            <w:bookmarkStart w:id="25" w:name="_LINE__7_2b801b60_f266_4c2b_8177_3789067"/>
            <w:r>
              <w:rPr>
                <w:rFonts w:ascii="Arial" w:eastAsia="Arial" w:hAnsi="Arial" w:cs="Arial"/>
                <w:b/>
              </w:rPr>
              <w:t>2026-27</w:t>
            </w:r>
            <w:bookmarkEnd w:id="25"/>
          </w:p>
        </w:tc>
      </w:tr>
      <w:tr w:rsidTr="005C516E">
        <w:tblPrEx>
          <w:tblW w:w="0" w:type="auto"/>
          <w:tblInd w:w="360" w:type="dxa"/>
          <w:tblCellMar>
            <w:left w:w="0" w:type="dxa"/>
            <w:right w:w="0" w:type="dxa"/>
          </w:tblCellMar>
          <w:tblLook w:val="04A0"/>
        </w:tblPrEx>
        <w:tc>
          <w:tcPr>
            <w:tcW w:w="5069" w:type="dxa"/>
          </w:tcPr>
          <w:p w:rsidR="00EB5CA3" w:rsidP="005C516E">
            <w:pPr>
              <w:spacing w:before="0" w:after="0"/>
              <w:ind w:left="180"/>
              <w:rPr>
                <w:rFonts w:ascii="Arial" w:eastAsia="Arial" w:hAnsi="Arial" w:cs="Arial"/>
              </w:rPr>
            </w:pPr>
            <w:bookmarkStart w:id="26" w:name="_LINE__8_b0204dfa_c76f_4000_a4fc_cd45e8b"/>
            <w:r>
              <w:rPr>
                <w:rFonts w:ascii="Arial" w:eastAsia="Arial" w:hAnsi="Arial" w:cs="Arial"/>
              </w:rPr>
              <w:t>All Other</w:t>
            </w:r>
            <w:bookmarkEnd w:id="26"/>
          </w:p>
        </w:tc>
        <w:tc>
          <w:tcPr>
            <w:tcW w:w="1469" w:type="dxa"/>
          </w:tcPr>
          <w:p w:rsidR="00EB5CA3" w:rsidP="005C516E">
            <w:pPr>
              <w:spacing w:before="0" w:after="0"/>
              <w:jc w:val="right"/>
              <w:rPr>
                <w:rFonts w:ascii="Arial" w:eastAsia="Arial" w:hAnsi="Arial" w:cs="Arial"/>
              </w:rPr>
            </w:pPr>
            <w:bookmarkStart w:id="27" w:name="_LINE__8_0224f249_85a4_4a07_ae3f_f6f96fb"/>
            <w:r>
              <w:rPr>
                <w:rFonts w:ascii="Arial" w:eastAsia="Arial" w:hAnsi="Arial" w:cs="Arial"/>
              </w:rPr>
              <w:t>$0</w:t>
            </w:r>
            <w:bookmarkEnd w:id="27"/>
          </w:p>
        </w:tc>
        <w:tc>
          <w:tcPr>
            <w:tcW w:w="1469" w:type="dxa"/>
          </w:tcPr>
          <w:p w:rsidR="00EB5CA3" w:rsidP="005C516E">
            <w:pPr>
              <w:spacing w:before="0" w:after="0"/>
              <w:jc w:val="right"/>
              <w:rPr>
                <w:rFonts w:ascii="Arial" w:eastAsia="Arial" w:hAnsi="Arial" w:cs="Arial"/>
              </w:rPr>
            </w:pPr>
            <w:bookmarkStart w:id="28" w:name="_LINE__8_12890c39_4e4c_4226_b57d_5cfd618"/>
            <w:r>
              <w:rPr>
                <w:rFonts w:ascii="Arial" w:eastAsia="Arial" w:hAnsi="Arial" w:cs="Arial"/>
              </w:rPr>
              <w:t>$3,179,647</w:t>
            </w:r>
            <w:bookmarkEnd w:id="28"/>
          </w:p>
        </w:tc>
      </w:tr>
      <w:tr w:rsidTr="005C516E">
        <w:tblPrEx>
          <w:tblW w:w="0" w:type="auto"/>
          <w:tblInd w:w="360" w:type="dxa"/>
          <w:tblCellMar>
            <w:left w:w="0" w:type="dxa"/>
            <w:right w:w="0" w:type="dxa"/>
          </w:tblCellMar>
          <w:tblLook w:val="04A0"/>
        </w:tblPrEx>
        <w:tc>
          <w:tcPr>
            <w:tcW w:w="5069" w:type="dxa"/>
          </w:tcPr>
          <w:p w:rsidR="00EB5CA3" w:rsidP="005C516E">
            <w:pPr>
              <w:spacing w:before="0" w:after="0"/>
              <w:rPr>
                <w:rFonts w:ascii="Arial" w:eastAsia="Arial" w:hAnsi="Arial" w:cs="Arial"/>
              </w:rPr>
            </w:pPr>
            <w:bookmarkStart w:id="29" w:name="_LINE__9_3941c083_62c7_4cbe_90f2_46eace7"/>
            <w:r>
              <w:rPr>
                <w:rFonts w:ascii="Arial" w:eastAsia="Arial" w:hAnsi="Arial" w:cs="Arial"/>
              </w:rPr>
              <w:t xml:space="preserve"> </w:t>
            </w:r>
            <w:bookmarkEnd w:id="29"/>
          </w:p>
        </w:tc>
        <w:tc>
          <w:tcPr>
            <w:tcW w:w="1469" w:type="dxa"/>
          </w:tcPr>
          <w:p w:rsidR="00EB5CA3" w:rsidP="005C516E">
            <w:pPr>
              <w:spacing w:before="0" w:after="0"/>
              <w:jc w:val="right"/>
              <w:rPr>
                <w:rFonts w:ascii="Arial" w:eastAsia="Arial" w:hAnsi="Arial" w:cs="Arial"/>
              </w:rPr>
            </w:pPr>
            <w:bookmarkStart w:id="30" w:name="_LINE__9_1e14a263_2029_4ce1_ad6f_1c9bcfd"/>
            <w:r>
              <w:rPr>
                <w:rFonts w:ascii="Arial" w:eastAsia="Arial" w:hAnsi="Arial" w:cs="Arial"/>
              </w:rPr>
              <w:t>__________</w:t>
            </w:r>
            <w:bookmarkEnd w:id="30"/>
          </w:p>
        </w:tc>
        <w:tc>
          <w:tcPr>
            <w:tcW w:w="1469" w:type="dxa"/>
          </w:tcPr>
          <w:p w:rsidR="00EB5CA3" w:rsidP="005C516E">
            <w:pPr>
              <w:spacing w:before="0" w:after="0"/>
              <w:jc w:val="right"/>
              <w:rPr>
                <w:rFonts w:ascii="Arial" w:eastAsia="Arial" w:hAnsi="Arial" w:cs="Arial"/>
              </w:rPr>
            </w:pPr>
            <w:bookmarkStart w:id="31" w:name="_LINE__9_bb0c2910_7e5e_436d_be6e_1ecf460"/>
            <w:r>
              <w:rPr>
                <w:rFonts w:ascii="Arial" w:eastAsia="Arial" w:hAnsi="Arial" w:cs="Arial"/>
              </w:rPr>
              <w:t>__________</w:t>
            </w:r>
            <w:bookmarkEnd w:id="31"/>
          </w:p>
        </w:tc>
      </w:tr>
      <w:tr w:rsidTr="005C516E">
        <w:tblPrEx>
          <w:tblW w:w="0" w:type="auto"/>
          <w:tblInd w:w="360" w:type="dxa"/>
          <w:tblCellMar>
            <w:left w:w="0" w:type="dxa"/>
            <w:right w:w="0" w:type="dxa"/>
          </w:tblCellMar>
          <w:tblLook w:val="04A0"/>
        </w:tblPrEx>
        <w:tc>
          <w:tcPr>
            <w:tcW w:w="5069" w:type="dxa"/>
          </w:tcPr>
          <w:p w:rsidR="00EB5CA3" w:rsidP="005C516E">
            <w:pPr>
              <w:spacing w:before="0" w:after="0"/>
              <w:rPr>
                <w:rFonts w:ascii="Arial" w:eastAsia="Arial" w:hAnsi="Arial" w:cs="Arial"/>
              </w:rPr>
            </w:pPr>
            <w:bookmarkStart w:id="32" w:name="_LINE__10_8950532b_2d22_4a55_9208_817d84"/>
            <w:r>
              <w:rPr>
                <w:rFonts w:ascii="Arial" w:eastAsia="Arial" w:hAnsi="Arial" w:cs="Arial"/>
              </w:rPr>
              <w:t>OTHER SPECIAL REVENUE FUNDS TOTAL</w:t>
            </w:r>
            <w:bookmarkEnd w:id="32"/>
          </w:p>
        </w:tc>
        <w:tc>
          <w:tcPr>
            <w:tcW w:w="1469" w:type="dxa"/>
          </w:tcPr>
          <w:p w:rsidR="00EB5CA3" w:rsidP="005C516E">
            <w:pPr>
              <w:spacing w:before="0" w:after="0"/>
              <w:jc w:val="right"/>
              <w:rPr>
                <w:rFonts w:ascii="Arial" w:eastAsia="Arial" w:hAnsi="Arial" w:cs="Arial"/>
              </w:rPr>
            </w:pPr>
            <w:bookmarkStart w:id="33" w:name="_LINE__10_e86ab73c_8a74_46dd_b372_cbde8f"/>
            <w:r>
              <w:rPr>
                <w:rFonts w:ascii="Arial" w:eastAsia="Arial" w:hAnsi="Arial" w:cs="Arial"/>
              </w:rPr>
              <w:t>$0</w:t>
            </w:r>
            <w:bookmarkEnd w:id="33"/>
          </w:p>
        </w:tc>
        <w:tc>
          <w:tcPr>
            <w:tcW w:w="1469" w:type="dxa"/>
          </w:tcPr>
          <w:p w:rsidR="00EB5CA3" w:rsidP="005C516E">
            <w:pPr>
              <w:spacing w:before="0" w:after="0"/>
              <w:jc w:val="right"/>
              <w:rPr>
                <w:rFonts w:ascii="Arial" w:eastAsia="Arial" w:hAnsi="Arial" w:cs="Arial"/>
              </w:rPr>
            </w:pPr>
            <w:bookmarkStart w:id="34" w:name="_LINE__10_e90be532_79c9_4926_b4d9_5055ba"/>
            <w:r>
              <w:rPr>
                <w:rFonts w:ascii="Arial" w:eastAsia="Arial" w:hAnsi="Arial" w:cs="Arial"/>
              </w:rPr>
              <w:t>$3,179,647</w:t>
            </w:r>
            <w:bookmarkEnd w:id="34"/>
          </w:p>
        </w:tc>
      </w:tr>
    </w:tbl>
    <w:p w:rsidR="00EB5CA3" w:rsidP="00EB5CA3">
      <w:pPr>
        <w:ind w:left="360"/>
        <w:rPr>
          <w:rFonts w:ascii="Arial" w:eastAsia="Arial" w:hAnsi="Arial" w:cs="Arial"/>
        </w:rPr>
      </w:pPr>
      <w:bookmarkStart w:id="35" w:name="_PAR__7_59d50d56_bcfa_4746_b4f5_d5865da4"/>
      <w:bookmarkEnd w:id="22"/>
      <w:r>
        <w:rPr>
          <w:rFonts w:ascii="Arial" w:eastAsia="Arial" w:hAnsi="Arial" w:cs="Arial"/>
        </w:rPr>
        <w:t>'</w:t>
      </w:r>
    </w:p>
    <w:p w:rsidR="00EB5CA3" w:rsidP="00EB5CA3">
      <w:pPr>
        <w:ind w:left="360" w:firstLine="360"/>
        <w:rPr>
          <w:rFonts w:ascii="Arial" w:eastAsia="Arial" w:hAnsi="Arial" w:cs="Arial"/>
        </w:rPr>
      </w:pPr>
      <w:bookmarkStart w:id="36" w:name="_INSTRUCTION__1e560f95_12af_4a4a_955e_a2"/>
      <w:bookmarkStart w:id="37" w:name="_PAR__8_2d028ed2_d8ce_4833_a08a_3808ec93"/>
      <w:bookmarkEnd w:id="11"/>
      <w:bookmarkEnd w:id="35"/>
      <w:r>
        <w:rPr>
          <w:rFonts w:ascii="Arial" w:eastAsia="Arial" w:hAnsi="Arial" w:cs="Arial"/>
        </w:rPr>
        <w:t>Amend the bill by relettering or renumbering any nonconsecutive Part letter or section number to read consecutively.</w:t>
      </w:r>
    </w:p>
    <w:p w:rsidR="00EB5CA3" w:rsidP="00EB5CA3">
      <w:pPr>
        <w:keepNext/>
        <w:spacing w:before="240"/>
        <w:ind w:left="360"/>
        <w:jc w:val="center"/>
        <w:rPr>
          <w:rFonts w:ascii="Arial" w:eastAsia="Arial" w:hAnsi="Arial" w:cs="Arial"/>
        </w:rPr>
      </w:pPr>
      <w:bookmarkStart w:id="38" w:name="_SUMMARY__17fdb4b2_4e21_4e43_8efc_b31fbf"/>
      <w:bookmarkStart w:id="39" w:name="_PAR__9_3122a040_ad15_4e12_a2ff_0ab85915"/>
      <w:bookmarkEnd w:id="36"/>
      <w:bookmarkEnd w:id="37"/>
      <w:r>
        <w:rPr>
          <w:rFonts w:ascii="Arial" w:eastAsia="Arial" w:hAnsi="Arial" w:cs="Arial"/>
          <w:b/>
          <w:sz w:val="24"/>
        </w:rPr>
        <w:t>SUMMARY</w:t>
      </w:r>
    </w:p>
    <w:p w:rsidR="00EB5CA3" w:rsidP="00EB5CA3">
      <w:pPr>
        <w:keepNext/>
        <w:ind w:left="360" w:firstLine="360"/>
        <w:rPr>
          <w:rFonts w:ascii="Arial" w:eastAsia="Arial" w:hAnsi="Arial" w:cs="Arial"/>
        </w:rPr>
      </w:pPr>
      <w:bookmarkStart w:id="40" w:name="_PAR__10_1af11f36_4da8_4b0a_ab97_df18435"/>
      <w:bookmarkEnd w:id="39"/>
      <w:r w:rsidRPr="00D724B1">
        <w:rPr>
          <w:rFonts w:ascii="Arial" w:eastAsia="Arial" w:hAnsi="Arial" w:cs="Arial"/>
        </w:rPr>
        <w:t xml:space="preserve">This amendment replaces the bill. The amendment reduces, beginning </w:t>
      </w:r>
      <w:r>
        <w:rPr>
          <w:rFonts w:ascii="Arial" w:eastAsia="Arial" w:hAnsi="Arial" w:cs="Arial"/>
        </w:rPr>
        <w:t>August</w:t>
      </w:r>
      <w:r w:rsidRPr="00D724B1">
        <w:rPr>
          <w:rFonts w:ascii="Arial" w:eastAsia="Arial" w:hAnsi="Arial" w:cs="Arial"/>
        </w:rPr>
        <w:t xml:space="preserve"> 1, 2026, the amount of gross slot machine income that must be deposited in the General Fund for the administrati</w:t>
      </w:r>
      <w:r>
        <w:rPr>
          <w:rFonts w:ascii="Arial" w:eastAsia="Arial" w:hAnsi="Arial" w:cs="Arial"/>
        </w:rPr>
        <w:t>ve</w:t>
      </w:r>
      <w:r w:rsidRPr="00D724B1">
        <w:rPr>
          <w:rFonts w:ascii="Arial" w:eastAsia="Arial" w:hAnsi="Arial" w:cs="Arial"/>
        </w:rPr>
        <w:t xml:space="preserve"> expenses of the Gambling Control Board within the Department of Public Safety from </w:t>
      </w:r>
      <w:r>
        <w:rPr>
          <w:rFonts w:ascii="Arial" w:eastAsia="Arial" w:hAnsi="Arial" w:cs="Arial"/>
        </w:rPr>
        <w:t>1% to 1/2 of 1%</w:t>
      </w:r>
      <w:r w:rsidRPr="00D724B1">
        <w:rPr>
          <w:rFonts w:ascii="Arial" w:eastAsia="Arial" w:hAnsi="Arial" w:cs="Arial"/>
        </w:rPr>
        <w:t xml:space="preserve">. It also provides that, beginning </w:t>
      </w:r>
      <w:r>
        <w:rPr>
          <w:rFonts w:ascii="Arial" w:eastAsia="Arial" w:hAnsi="Arial" w:cs="Arial"/>
        </w:rPr>
        <w:t>August</w:t>
      </w:r>
      <w:r w:rsidRPr="00D724B1">
        <w:rPr>
          <w:rFonts w:ascii="Arial" w:eastAsia="Arial" w:hAnsi="Arial" w:cs="Arial"/>
        </w:rPr>
        <w:t xml:space="preserve"> 1, 2026, a </w:t>
      </w:r>
      <w:r>
        <w:rPr>
          <w:rFonts w:ascii="Arial" w:eastAsia="Arial" w:hAnsi="Arial" w:cs="Arial"/>
        </w:rPr>
        <w:t xml:space="preserve">slot machine operator or </w:t>
      </w:r>
      <w:r w:rsidRPr="00D724B1">
        <w:rPr>
          <w:rFonts w:ascii="Arial" w:eastAsia="Arial" w:hAnsi="Arial" w:cs="Arial"/>
        </w:rPr>
        <w:t xml:space="preserve">casino with a commercial track must collect and distribute </w:t>
      </w:r>
      <w:r>
        <w:rPr>
          <w:rFonts w:ascii="Arial" w:eastAsia="Arial" w:hAnsi="Arial" w:cs="Arial"/>
        </w:rPr>
        <w:t>1/2 of 1%</w:t>
      </w:r>
      <w:r w:rsidRPr="00D724B1">
        <w:rPr>
          <w:rFonts w:ascii="Arial" w:eastAsia="Arial" w:hAnsi="Arial" w:cs="Arial"/>
        </w:rPr>
        <w:t xml:space="preserve"> of gross slot machine income to the board</w:t>
      </w:r>
      <w:r>
        <w:rPr>
          <w:rFonts w:ascii="Arial" w:eastAsia="Arial" w:hAnsi="Arial" w:cs="Arial"/>
        </w:rPr>
        <w:t>.</w:t>
      </w:r>
      <w:r w:rsidRPr="00D724B1">
        <w:rPr>
          <w:rFonts w:ascii="Arial" w:eastAsia="Arial" w:hAnsi="Arial" w:cs="Arial"/>
        </w:rPr>
        <w:t xml:space="preserve"> </w:t>
      </w:r>
      <w:r>
        <w:rPr>
          <w:rFonts w:ascii="Arial" w:eastAsia="Arial" w:hAnsi="Arial" w:cs="Arial"/>
        </w:rPr>
        <w:t>The board</w:t>
      </w:r>
      <w:r w:rsidRPr="00D724B1">
        <w:rPr>
          <w:rFonts w:ascii="Arial" w:eastAsia="Arial" w:hAnsi="Arial" w:cs="Arial"/>
        </w:rPr>
        <w:t xml:space="preserve"> must forward those funds to </w:t>
      </w:r>
      <w:r>
        <w:rPr>
          <w:rFonts w:ascii="Arial" w:eastAsia="Arial" w:hAnsi="Arial" w:cs="Arial"/>
        </w:rPr>
        <w:t xml:space="preserve">the </w:t>
      </w:r>
      <w:r w:rsidRPr="00D724B1">
        <w:rPr>
          <w:rFonts w:ascii="Arial" w:eastAsia="Arial" w:hAnsi="Arial" w:cs="Arial"/>
        </w:rPr>
        <w:t xml:space="preserve">Treasurer of State for distribution to the tribal governments of the Houlton Band of Maliseet Indians and the Mi'kmaq Nation. If </w:t>
      </w:r>
      <w:r>
        <w:rPr>
          <w:rFonts w:ascii="Arial" w:eastAsia="Arial" w:hAnsi="Arial" w:cs="Arial"/>
        </w:rPr>
        <w:t xml:space="preserve">such </w:t>
      </w:r>
      <w:r w:rsidRPr="00D724B1">
        <w:rPr>
          <w:rFonts w:ascii="Arial" w:eastAsia="Arial" w:hAnsi="Arial" w:cs="Arial"/>
        </w:rPr>
        <w:t xml:space="preserve">a tribal government receives revenue from the operation of Internet gaming, the tribal government may not receive funds </w:t>
      </w:r>
      <w:r>
        <w:rPr>
          <w:rFonts w:ascii="Arial" w:eastAsia="Arial" w:hAnsi="Arial" w:cs="Arial"/>
        </w:rPr>
        <w:t>from gross slot machine income</w:t>
      </w:r>
      <w:r w:rsidRPr="00D724B1">
        <w:rPr>
          <w:rFonts w:ascii="Arial" w:eastAsia="Arial" w:hAnsi="Arial" w:cs="Arial"/>
        </w:rPr>
        <w:t xml:space="preserve"> and those funds must be distributed to the Treasurer of State for deposit in the General Fund for the administrative expenses of the board.</w:t>
      </w:r>
    </w:p>
    <w:p w:rsidR="00EB5CA3" w:rsidP="00EB5CA3">
      <w:pPr>
        <w:keepNext/>
        <w:spacing w:before="60" w:after="60"/>
        <w:ind w:left="360"/>
        <w:jc w:val="center"/>
        <w:rPr>
          <w:rFonts w:ascii="Arial" w:eastAsia="Arial" w:hAnsi="Arial" w:cs="Arial"/>
        </w:rPr>
      </w:pPr>
      <w:bookmarkStart w:id="41" w:name="_FISCAL_NOTE_REQUIRED__16ce8449_ad50_4e4"/>
      <w:bookmarkStart w:id="42" w:name="_PAR__11_942ae675_d360_4b42_adf4_4f5a2ac"/>
      <w:bookmarkEnd w:id="40"/>
      <w:r>
        <w:rPr>
          <w:rFonts w:ascii="Arial" w:eastAsia="Arial" w:hAnsi="Arial" w:cs="Arial"/>
          <w:b/>
        </w:rPr>
        <w:t>FISCAL NOTE REQUIRED</w:t>
      </w:r>
    </w:p>
    <w:p w:rsidR="00000000" w:rsidRPr="00EB5CA3" w:rsidP="00EB5CA3">
      <w:pPr>
        <w:spacing w:before="60" w:after="60"/>
        <w:ind w:left="360"/>
        <w:jc w:val="center"/>
        <w:rPr>
          <w:rFonts w:ascii="Arial" w:eastAsia="Arial" w:hAnsi="Arial" w:cs="Arial"/>
          <w:b/>
        </w:rPr>
      </w:pPr>
      <w:bookmarkStart w:id="43" w:name="_PAR__12_80c70981_d0ad_43d9_a694_f2fdd0d"/>
      <w:bookmarkEnd w:id="42"/>
      <w:r>
        <w:rPr>
          <w:rFonts w:ascii="Arial" w:eastAsia="Arial" w:hAnsi="Arial" w:cs="Arial"/>
          <w:b/>
        </w:rPr>
        <w:t>(See attached)</w:t>
      </w:r>
      <w:bookmarkEnd w:id="17"/>
      <w:bookmarkEnd w:id="38"/>
      <w:bookmarkEnd w:id="41"/>
      <w:bookmarkEnd w:id="43"/>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LR2166,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Bring Parity Among the Wabanaki Nations Regarding the Generation of Revenues from Gaming</w:t>
    </w:r>
  </w:p>
  <w:p>
    <w:pPr>
      <w:suppressLineNumbers/>
      <w:spacing w:before="0" w:after="0"/>
      <w:jc w:val="center"/>
      <w:rPr>
        <w:rFonts w:ascii="Arial" w:eastAsia="Arial" w:hAnsi="Arial" w:cs="Arial"/>
      </w:rPr>
    </w:pPr>
    <w:r>
      <w:rPr>
        <w:rFonts w:ascii="Arial" w:eastAsia="Arial" w:hAnsi="Arial" w:cs="Arial"/>
        <w:sz w:val="22"/>
      </w:rPr>
      <w:t>L.D. 1851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5C516E"/>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4B1"/>
    <w:rsid w:val="00D72A6C"/>
    <w:rsid w:val="00DA6742"/>
    <w:rsid w:val="00DD425A"/>
    <w:rsid w:val="00E10467"/>
    <w:rsid w:val="00E229C6"/>
    <w:rsid w:val="00E25AE4"/>
    <w:rsid w:val="00E325CC"/>
    <w:rsid w:val="00E370EF"/>
    <w:rsid w:val="00E67BCF"/>
    <w:rsid w:val="00E70594"/>
    <w:rsid w:val="00EB5CA3"/>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