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Remove the Requirement That Individual and Small Group Health Plans Be Offered Through a Pooled Market and to Eliminate the Provision of Law Establishing a Pooled Market for Those Plans</w:t>
      </w:r>
    </w:p>
    <w:p w:rsidR="008F22D9" w:rsidP="008F22D9">
      <w:pPr>
        <w:spacing w:after="240"/>
        <w:ind w:left="360"/>
        <w:jc w:val="right"/>
        <w:rPr>
          <w:rFonts w:ascii="Arial" w:eastAsia="Arial" w:hAnsi="Arial" w:cs="Arial"/>
          <w:caps/>
        </w:rPr>
      </w:pPr>
      <w:bookmarkStart w:id="0" w:name="_AMEND_TITLE__1998ddb3_0482_4177_b8eb_88"/>
      <w:bookmarkStart w:id="1" w:name="_PAGE__1_e763efb6_c211_4737_803b_0a9513a"/>
      <w:bookmarkStart w:id="2" w:name="_PAR__2_6fc9d26a_358e_43b4_aaa5_c46eb187"/>
      <w:r>
        <w:rPr>
          <w:rFonts w:ascii="Arial" w:eastAsia="Arial" w:hAnsi="Arial" w:cs="Arial"/>
          <w:caps/>
        </w:rPr>
        <w:t>L.D. 519</w:t>
      </w:r>
    </w:p>
    <w:p w:rsidR="008F22D9" w:rsidP="008F22D9">
      <w:pPr>
        <w:tabs>
          <w:tab w:val="right" w:pos="8928"/>
        </w:tabs>
        <w:spacing w:after="360"/>
        <w:ind w:left="360"/>
        <w:rPr>
          <w:rFonts w:ascii="Arial" w:eastAsia="Arial" w:hAnsi="Arial" w:cs="Arial"/>
        </w:rPr>
      </w:pPr>
      <w:bookmarkStart w:id="3" w:name="_PAR__3_d0ce9305_cad4_4956_aedb_3201b4d3"/>
      <w:bookmarkEnd w:id="2"/>
      <w:r>
        <w:rPr>
          <w:rFonts w:ascii="Arial" w:eastAsia="Arial" w:hAnsi="Arial" w:cs="Arial"/>
        </w:rPr>
        <w:t>Date:</w:t>
      </w:r>
      <w:r>
        <w:rPr>
          <w:rFonts w:ascii="Arial" w:eastAsia="Arial" w:hAnsi="Arial" w:cs="Arial"/>
        </w:rPr>
        <w:tab/>
        <w:t>(Filing No. H-         )</w:t>
      </w:r>
    </w:p>
    <w:p w:rsidR="008F22D9" w:rsidP="008F22D9">
      <w:pPr>
        <w:spacing w:before="600" w:after="300"/>
        <w:ind w:left="360"/>
        <w:jc w:val="center"/>
        <w:outlineLvl w:val="0"/>
        <w:rPr>
          <w:rFonts w:ascii="Arial" w:eastAsia="Arial" w:hAnsi="Arial" w:cs="Arial"/>
        </w:rPr>
      </w:pPr>
      <w:bookmarkStart w:id="4" w:name="_PAR__4_1f89c273_bd29_42d4_a1a6_931004f7"/>
      <w:bookmarkEnd w:id="3"/>
      <w:r>
        <w:rPr>
          <w:rFonts w:ascii="Arial" w:eastAsia="Arial" w:hAnsi="Arial" w:cs="Arial"/>
          <w:b/>
          <w:caps/>
          <w:sz w:val="24"/>
          <w:szCs w:val="32"/>
        </w:rPr>
        <w:t xml:space="preserve">Health Coverage, Insurance and Financial Services </w:t>
      </w:r>
    </w:p>
    <w:p w:rsidR="008F22D9" w:rsidP="008F22D9">
      <w:pPr>
        <w:spacing w:before="60" w:after="60"/>
        <w:ind w:left="720"/>
        <w:rPr>
          <w:rFonts w:ascii="Arial" w:eastAsia="Arial" w:hAnsi="Arial" w:cs="Arial"/>
        </w:rPr>
      </w:pPr>
      <w:bookmarkStart w:id="5" w:name="_PAR__5_e572f11c_8885_4e88_bc5a_338b61e1"/>
      <w:bookmarkEnd w:id="4"/>
      <w:r>
        <w:rPr>
          <w:rFonts w:ascii="Arial" w:eastAsia="Arial" w:hAnsi="Arial" w:cs="Arial"/>
        </w:rPr>
        <w:t>Reproduced and distributed under the direction of the Clerk of the House.</w:t>
      </w:r>
    </w:p>
    <w:p w:rsidR="008F22D9" w:rsidP="008F22D9">
      <w:pPr>
        <w:spacing w:before="160" w:after="0"/>
        <w:ind w:left="360"/>
        <w:jc w:val="center"/>
        <w:outlineLvl w:val="0"/>
        <w:rPr>
          <w:rFonts w:ascii="Arial" w:eastAsia="Arial" w:hAnsi="Arial" w:cs="Arial"/>
          <w:b/>
          <w:caps/>
          <w:sz w:val="24"/>
          <w:szCs w:val="32"/>
        </w:rPr>
      </w:pPr>
      <w:bookmarkStart w:id="6" w:name="_PAR__6_d36c7d4a_4fd7_41d3_aac7_9ac677fe"/>
      <w:bookmarkEnd w:id="5"/>
      <w:r>
        <w:rPr>
          <w:rFonts w:ascii="Arial" w:eastAsia="Arial" w:hAnsi="Arial" w:cs="Arial"/>
          <w:b/>
          <w:caps/>
          <w:sz w:val="24"/>
          <w:szCs w:val="32"/>
        </w:rPr>
        <w:t>STATE OF MAINE</w:t>
      </w:r>
    </w:p>
    <w:p w:rsidR="008F22D9" w:rsidP="008F22D9">
      <w:pPr>
        <w:spacing w:after="0"/>
        <w:ind w:left="360"/>
        <w:jc w:val="center"/>
        <w:outlineLvl w:val="0"/>
        <w:rPr>
          <w:rFonts w:ascii="Arial" w:eastAsia="Arial" w:hAnsi="Arial" w:cs="Arial"/>
          <w:b/>
          <w:caps/>
          <w:sz w:val="24"/>
          <w:szCs w:val="32"/>
        </w:rPr>
      </w:pPr>
      <w:bookmarkStart w:id="7" w:name="_PAR__7_710ed5eb_7e21_4034_8cc7_dd0e179d"/>
      <w:bookmarkEnd w:id="6"/>
      <w:r>
        <w:rPr>
          <w:rFonts w:ascii="Arial" w:eastAsia="Arial" w:hAnsi="Arial" w:cs="Arial"/>
          <w:b/>
          <w:caps/>
          <w:sz w:val="24"/>
          <w:szCs w:val="32"/>
        </w:rPr>
        <w:t>HOUSE OF REPRESENTATIVES</w:t>
      </w:r>
    </w:p>
    <w:p w:rsidR="008F22D9" w:rsidP="008F22D9">
      <w:pPr>
        <w:spacing w:after="0"/>
        <w:ind w:left="360"/>
        <w:jc w:val="center"/>
        <w:outlineLvl w:val="0"/>
        <w:rPr>
          <w:rFonts w:ascii="Arial" w:eastAsia="Arial" w:hAnsi="Arial" w:cs="Arial"/>
          <w:b/>
          <w:caps/>
          <w:sz w:val="24"/>
          <w:szCs w:val="32"/>
        </w:rPr>
      </w:pPr>
      <w:bookmarkStart w:id="8" w:name="_PAR__8_8ed05c6e_387b_4893_882b_794c4282"/>
      <w:bookmarkEnd w:id="7"/>
      <w:r>
        <w:rPr>
          <w:rFonts w:ascii="Arial" w:eastAsia="Arial" w:hAnsi="Arial" w:cs="Arial"/>
          <w:b/>
          <w:caps/>
          <w:sz w:val="24"/>
          <w:szCs w:val="32"/>
        </w:rPr>
        <w:t>132nd Legislature</w:t>
      </w:r>
    </w:p>
    <w:p w:rsidR="008F22D9" w:rsidP="008F22D9">
      <w:pPr>
        <w:spacing w:after="0"/>
        <w:ind w:left="360"/>
        <w:jc w:val="center"/>
        <w:outlineLvl w:val="0"/>
        <w:rPr>
          <w:rFonts w:ascii="Arial" w:eastAsia="Arial" w:hAnsi="Arial" w:cs="Arial"/>
          <w:b/>
          <w:caps/>
          <w:sz w:val="24"/>
          <w:szCs w:val="32"/>
        </w:rPr>
      </w:pPr>
      <w:bookmarkStart w:id="9" w:name="_PAR__9_05da2ded_d50d_430b_a5da_b61b5cae"/>
      <w:bookmarkEnd w:id="8"/>
      <w:r>
        <w:rPr>
          <w:rFonts w:ascii="Arial" w:eastAsia="Arial" w:hAnsi="Arial" w:cs="Arial"/>
          <w:b/>
          <w:caps/>
          <w:sz w:val="24"/>
          <w:szCs w:val="32"/>
        </w:rPr>
        <w:t>Second Regular Session</w:t>
      </w:r>
    </w:p>
    <w:p w:rsidR="008F22D9" w:rsidP="008F22D9">
      <w:pPr>
        <w:spacing w:before="400" w:after="200"/>
        <w:ind w:left="360" w:firstLine="360"/>
        <w:rPr>
          <w:rFonts w:ascii="Arial" w:eastAsia="Arial" w:hAnsi="Arial" w:cs="Arial"/>
        </w:rPr>
      </w:pPr>
      <w:bookmarkStart w:id="10" w:name="_PAR__10_68f11104_32ae_4874_9a5f_650389c"/>
      <w:bookmarkEnd w:id="9"/>
      <w:r>
        <w:rPr>
          <w:rFonts w:ascii="Arial" w:eastAsia="Arial" w:hAnsi="Arial" w:cs="Arial"/>
          <w:szCs w:val="22"/>
        </w:rPr>
        <w:t>COMMITTEE AMENDMENT “      ” to H.P. 337, L.D. 519, “An Act to Remove the Requirement That Individual and Small Group Health Plans Be Offered Through a Pooled Market and to Eliminate the Provision of Law Establishing a Pooled Market for Those Plans”</w:t>
      </w:r>
    </w:p>
    <w:p w:rsidR="008F22D9" w:rsidP="008F22D9">
      <w:pPr>
        <w:ind w:left="360" w:firstLine="360"/>
        <w:rPr>
          <w:rFonts w:ascii="Arial" w:eastAsia="Arial" w:hAnsi="Arial" w:cs="Arial"/>
        </w:rPr>
      </w:pPr>
      <w:bookmarkStart w:id="11" w:name="_INSTRUCTION__71c39b4f_f156_426a_90d7_6f"/>
      <w:bookmarkStart w:id="12" w:name="_PAR__11_b43c9dd9_3a5e_49cb_95bc_7465ec4"/>
      <w:bookmarkEnd w:id="0"/>
      <w:bookmarkEnd w:id="10"/>
      <w:r>
        <w:rPr>
          <w:rFonts w:ascii="Arial" w:eastAsia="Arial" w:hAnsi="Arial" w:cs="Arial"/>
        </w:rPr>
        <w:t>Amend the bill by striking out the title and substituting the following:</w:t>
      </w:r>
    </w:p>
    <w:p w:rsidR="008F22D9" w:rsidP="008F22D9">
      <w:pPr>
        <w:ind w:left="360"/>
        <w:rPr>
          <w:rFonts w:ascii="Arial" w:eastAsia="Arial" w:hAnsi="Arial" w:cs="Arial"/>
        </w:rPr>
      </w:pPr>
      <w:bookmarkStart w:id="13" w:name="_PAR__12_cf0d625a_820f_421e_8d31_8b54180"/>
      <w:bookmarkEnd w:id="12"/>
      <w:r>
        <w:rPr>
          <w:rFonts w:ascii="Arial" w:eastAsia="Arial" w:hAnsi="Arial" w:cs="Arial"/>
          <w:b/>
        </w:rPr>
        <w:t>'An Act to Address the Long-term Sustainability of the Maine Guaranteed Access Reinsurance Association'</w:t>
      </w:r>
    </w:p>
    <w:p w:rsidR="008F22D9" w:rsidP="008F22D9">
      <w:pPr>
        <w:ind w:left="360" w:firstLine="360"/>
        <w:rPr>
          <w:rFonts w:ascii="Arial" w:eastAsia="Arial" w:hAnsi="Arial" w:cs="Arial"/>
        </w:rPr>
      </w:pPr>
      <w:bookmarkStart w:id="14" w:name="_INSTRUCTION__e865627f_ad5e_46b3_964f_0c"/>
      <w:bookmarkStart w:id="15" w:name="_PAR__13_3a4b05d5_06f6_4a26_8c6c_29be668"/>
      <w:bookmarkEnd w:id="11"/>
      <w:bookmarkEnd w:id="13"/>
      <w:r>
        <w:rPr>
          <w:rFonts w:ascii="Arial" w:eastAsia="Arial" w:hAnsi="Arial" w:cs="Arial"/>
        </w:rPr>
        <w:t>Amend the bill by striking out everything after the enacting clause and inserting the following:</w:t>
      </w:r>
    </w:p>
    <w:p w:rsidR="008F22D9" w:rsidP="008F22D9">
      <w:pPr>
        <w:ind w:left="360" w:firstLine="360"/>
        <w:rPr>
          <w:rFonts w:ascii="Arial" w:eastAsia="Arial" w:hAnsi="Arial" w:cs="Arial"/>
        </w:rPr>
      </w:pPr>
      <w:bookmarkStart w:id="16" w:name="_PAR__14_539f5315_7f75_49ac_95d5_3d6511a"/>
      <w:bookmarkEnd w:id="15"/>
      <w:r>
        <w:rPr>
          <w:rFonts w:ascii="Arial" w:eastAsia="Arial" w:hAnsi="Arial" w:cs="Arial"/>
        </w:rPr>
        <w:t>'</w:t>
      </w:r>
      <w:r>
        <w:rPr>
          <w:rFonts w:ascii="Arial" w:eastAsia="Arial" w:hAnsi="Arial" w:cs="Arial"/>
          <w:b/>
          <w:sz w:val="24"/>
        </w:rPr>
        <w:t>Sec. 1.  24-A MRSA §3955, sub-§4,</w:t>
      </w:r>
      <w:r>
        <w:rPr>
          <w:rFonts w:ascii="Arial" w:eastAsia="Arial" w:hAnsi="Arial" w:cs="Arial"/>
        </w:rPr>
        <w:t xml:space="preserve"> as enacted by PL 2011, c. 90, Pt. B, §8, is amended to read:</w:t>
      </w:r>
    </w:p>
    <w:p w:rsidR="008F22D9" w:rsidP="008F22D9">
      <w:pPr>
        <w:ind w:left="360" w:firstLine="360"/>
        <w:rPr>
          <w:rFonts w:ascii="Arial" w:eastAsia="Arial" w:hAnsi="Arial" w:cs="Arial"/>
        </w:rPr>
      </w:pPr>
      <w:bookmarkStart w:id="17" w:name="_PAR__15_fc3d9d29_b506_4c6e_984e_f14db3d"/>
      <w:bookmarkEnd w:id="16"/>
      <w:r>
        <w:rPr>
          <w:rFonts w:ascii="Arial" w:eastAsia="Arial" w:hAnsi="Arial" w:cs="Arial"/>
          <w:b/>
        </w:rPr>
        <w:t xml:space="preserve">4.  Review for solvency. </w:t>
      </w:r>
      <w:r>
        <w:rPr>
          <w:rFonts w:ascii="Arial" w:eastAsia="Arial" w:hAnsi="Arial" w:cs="Arial"/>
        </w:rPr>
        <w:t xml:space="preserve"> An annual review of the association for solvency must be performed by an independent certified public accountant using generally accepted accounting principles.  The association shall submit the annual review to the superintendent </w:t>
      </w:r>
      <w:r>
        <w:rPr>
          <w:rFonts w:ascii="Arial" w:eastAsia="Arial" w:hAnsi="Arial" w:cs="Arial"/>
          <w:u w:val="single"/>
        </w:rPr>
        <w:t>and to the joint standing committee of the Legislature having jurisdiction over health insurance matters as part of the annual report required to be submitted in subsection 5</w:t>
      </w:r>
      <w:r>
        <w:rPr>
          <w:rFonts w:ascii="Arial" w:eastAsia="Arial" w:hAnsi="Arial" w:cs="Arial"/>
        </w:rPr>
        <w:t xml:space="preserve">.  If the superintendent determines that the funds of the association are insufficient to support the need for reinsurance, the superintendent may order the association to increase its assessments.  If the superintendent determines that the funds of the association are insufficient, the superintendent may order the association to charge additional assessments </w:t>
      </w:r>
      <w:r>
        <w:rPr>
          <w:rFonts w:ascii="Arial" w:eastAsia="Arial" w:hAnsi="Arial" w:cs="Arial"/>
          <w:u w:val="single"/>
        </w:rPr>
        <w:t>and shall notify the joint standing committee of the Legislature having jurisdiction over health insurance matters</w:t>
      </w:r>
      <w:r>
        <w:rPr>
          <w:rFonts w:ascii="Arial" w:eastAsia="Arial" w:hAnsi="Arial" w:cs="Arial"/>
        </w:rPr>
        <w:t>.</w:t>
      </w:r>
    </w:p>
    <w:p w:rsidR="008F22D9" w:rsidP="008F22D9">
      <w:pPr>
        <w:ind w:left="360" w:firstLine="360"/>
        <w:rPr>
          <w:rFonts w:ascii="Arial" w:eastAsia="Arial" w:hAnsi="Arial" w:cs="Arial"/>
        </w:rPr>
      </w:pPr>
      <w:bookmarkStart w:id="18" w:name="_PAR__16_56860145_41e8_45e4_b168_00eb2bc"/>
      <w:bookmarkEnd w:id="17"/>
      <w:r>
        <w:rPr>
          <w:rFonts w:ascii="Arial" w:eastAsia="Arial" w:hAnsi="Arial" w:cs="Arial"/>
          <w:b/>
          <w:sz w:val="24"/>
        </w:rPr>
        <w:t>Sec. 2.  24-A MRSA §3955, sub-§5,</w:t>
      </w:r>
      <w:r>
        <w:rPr>
          <w:rFonts w:ascii="Arial" w:eastAsia="Arial" w:hAnsi="Arial" w:cs="Arial"/>
        </w:rPr>
        <w:t xml:space="preserve"> as enacted by PL 2011, c. 90, Pt. B, §8, is amended to read:</w:t>
      </w:r>
    </w:p>
    <w:p w:rsidR="008F22D9" w:rsidP="008F22D9">
      <w:pPr>
        <w:ind w:left="360" w:firstLine="360"/>
        <w:rPr>
          <w:rFonts w:ascii="Arial" w:eastAsia="Arial" w:hAnsi="Arial" w:cs="Arial"/>
        </w:rPr>
      </w:pPr>
      <w:bookmarkStart w:id="19" w:name="_PAR__17_29667cbe_fd47_42d6_8675_c8ade7c"/>
      <w:bookmarkEnd w:id="18"/>
      <w:r>
        <w:rPr>
          <w:rFonts w:ascii="Arial" w:eastAsia="Arial" w:hAnsi="Arial" w:cs="Arial"/>
          <w:b/>
        </w:rPr>
        <w:t xml:space="preserve">5.  Annual report. </w:t>
      </w:r>
      <w:r>
        <w:rPr>
          <w:rFonts w:ascii="Arial" w:eastAsia="Arial" w:hAnsi="Arial" w:cs="Arial"/>
        </w:rPr>
        <w:t xml:space="preserve"> The association shall report annually to the joint standing committee of the Legislature having jurisdiction over health insurance matters by March 15th.  The report must include information on the financial solvency of the association </w:t>
      </w:r>
      <w:r>
        <w:rPr>
          <w:rFonts w:ascii="Arial" w:eastAsia="Arial" w:hAnsi="Arial" w:cs="Arial"/>
          <w:strike/>
        </w:rPr>
        <w:t>and</w:t>
      </w:r>
      <w:r>
        <w:rPr>
          <w:rFonts w:ascii="Arial" w:eastAsia="Arial" w:hAnsi="Arial" w:cs="Arial"/>
          <w:u w:val="single"/>
        </w:rPr>
        <w:t>,</w:t>
      </w:r>
      <w:r>
        <w:rPr>
          <w:rFonts w:ascii="Arial" w:eastAsia="Arial" w:hAnsi="Arial" w:cs="Arial"/>
        </w:rPr>
        <w:t xml:space="preserve"> </w:t>
      </w:r>
      <w:bookmarkStart w:id="20" w:name="_PAGE_SPLIT__469f7144_7aca_43e7_b24b_029"/>
      <w:bookmarkStart w:id="21" w:name="_PAGE__2_ba82958d_1433_4317_8988_58b9627"/>
      <w:bookmarkStart w:id="22" w:name="_PAR__2_c66c8b93_6b14_4250_aa78_44c37ff8"/>
      <w:bookmarkEnd w:id="1"/>
      <w:bookmarkEnd w:id="19"/>
      <w:r>
        <w:rPr>
          <w:rFonts w:ascii="Arial" w:eastAsia="Arial" w:hAnsi="Arial" w:cs="Arial"/>
        </w:rPr>
        <w:t>t</w:t>
      </w:r>
      <w:bookmarkEnd w:id="20"/>
      <w:r>
        <w:rPr>
          <w:rFonts w:ascii="Arial" w:eastAsia="Arial" w:hAnsi="Arial" w:cs="Arial"/>
        </w:rPr>
        <w:t xml:space="preserve">he administrative expenses of the association </w:t>
      </w:r>
      <w:r>
        <w:rPr>
          <w:rFonts w:ascii="Arial" w:eastAsia="Arial" w:hAnsi="Arial" w:cs="Arial"/>
          <w:u w:val="single"/>
        </w:rPr>
        <w:t>and, beginning March 15, 2027 and annually thereafter, the recommendations of the board related to whether to continue, modify or eliminate the assessment authorized under section 3957, subsection 2 or whether additional statutory or structural changes are necessary to support the need for reinsurance.  The joint standing committee of the Legislature having jurisdiction over health insurance matters shall conduct an evaluation of the recommendations made by the board pursuant to this subsection and may report out a bill based on that evaluation to any regular or special session of the Legislature</w:t>
      </w:r>
      <w:r>
        <w:rPr>
          <w:rFonts w:ascii="Arial" w:eastAsia="Arial" w:hAnsi="Arial" w:cs="Arial"/>
        </w:rPr>
        <w:t>.</w:t>
      </w:r>
    </w:p>
    <w:p w:rsidR="008F22D9" w:rsidP="008F22D9">
      <w:pPr>
        <w:ind w:left="360" w:firstLine="360"/>
        <w:rPr>
          <w:rFonts w:ascii="Arial" w:eastAsia="Arial" w:hAnsi="Arial" w:cs="Arial"/>
        </w:rPr>
      </w:pPr>
      <w:bookmarkStart w:id="23" w:name="_PAR__3_1a117cdb_50c7_485a_8a46_7e904a7b"/>
      <w:bookmarkEnd w:id="22"/>
      <w:r>
        <w:rPr>
          <w:rFonts w:ascii="Arial" w:eastAsia="Arial" w:hAnsi="Arial" w:cs="Arial"/>
          <w:b/>
          <w:sz w:val="24"/>
        </w:rPr>
        <w:t>Sec. 3.  24-A MRSA §3964</w:t>
      </w:r>
      <w:r>
        <w:rPr>
          <w:rFonts w:ascii="Arial" w:eastAsia="Arial" w:hAnsi="Arial" w:cs="Arial"/>
        </w:rPr>
        <w:t xml:space="preserve"> is enacted to read:</w:t>
      </w:r>
    </w:p>
    <w:p w:rsidR="008F22D9" w:rsidP="008F22D9">
      <w:pPr>
        <w:ind w:left="1080" w:hanging="720"/>
        <w:rPr>
          <w:rFonts w:ascii="Arial" w:eastAsia="Arial" w:hAnsi="Arial" w:cs="Arial"/>
        </w:rPr>
      </w:pPr>
      <w:bookmarkStart w:id="24" w:name="_PAR__4_1d0ab73d_f351_4262_8e89_10fcf07c"/>
      <w:bookmarkEnd w:id="23"/>
      <w:r>
        <w:rPr>
          <w:rFonts w:ascii="Arial" w:eastAsia="Arial" w:hAnsi="Arial" w:cs="Arial"/>
          <w:b/>
          <w:u w:val="single"/>
        </w:rPr>
        <w:t>§3964.  Funding based on premium assessment</w:t>
      </w:r>
    </w:p>
    <w:p w:rsidR="008F22D9" w:rsidRPr="00E243DA" w:rsidP="008F22D9">
      <w:pPr>
        <w:ind w:left="360" w:firstLine="360"/>
        <w:rPr>
          <w:rFonts w:ascii="Arial" w:eastAsia="Arial" w:hAnsi="Arial" w:cs="Arial"/>
        </w:rPr>
      </w:pPr>
      <w:bookmarkStart w:id="25" w:name="_PAR__5_52e0470b_a009_47aa_9d5d_8e0d3b0a"/>
      <w:bookmarkEnd w:id="24"/>
      <w:r w:rsidRPr="00E243DA">
        <w:rPr>
          <w:rFonts w:ascii="Arial" w:eastAsia="Arial" w:hAnsi="Arial" w:cs="Arial"/>
          <w:b/>
          <w:u w:val="single"/>
        </w:rPr>
        <w:t>1.  Calculation of premium assessment.</w:t>
      </w:r>
      <w:r>
        <w:rPr>
          <w:rFonts w:ascii="Arial" w:eastAsia="Arial" w:hAnsi="Arial" w:cs="Arial"/>
          <w:u w:val="single"/>
        </w:rPr>
        <w:t xml:space="preserve">  No later than March 1, 2027 and annually thereafter, the superintendent shall calculate, but not assess, the amount that would be payable if all insurers that provide medical insurance on a fully insured basis paid a 1.5% assessment on premiums for the preceding calendar year.  As soon as practicable, the superintendent shall notify the association and the State Controller of the amount of the premium assessment calculated pursuant to this subsection.</w:t>
      </w:r>
      <w:r>
        <w:rPr>
          <w:rFonts w:ascii="Arial" w:eastAsia="Arial" w:hAnsi="Arial" w:cs="Arial"/>
        </w:rPr>
        <w:t xml:space="preserve"> </w:t>
      </w:r>
    </w:p>
    <w:p w:rsidR="008F22D9" w:rsidRPr="00E243DA" w:rsidP="008F22D9">
      <w:pPr>
        <w:ind w:left="360" w:firstLine="360"/>
        <w:rPr>
          <w:rFonts w:ascii="Arial" w:eastAsia="Arial" w:hAnsi="Arial" w:cs="Arial"/>
        </w:rPr>
      </w:pPr>
      <w:bookmarkStart w:id="26" w:name="_PAR__6_aca8a5aa_514d_48c3_aa4b_40db8be3"/>
      <w:bookmarkEnd w:id="25"/>
      <w:r w:rsidRPr="00E243DA">
        <w:rPr>
          <w:rFonts w:ascii="Arial" w:eastAsia="Arial" w:hAnsi="Arial" w:cs="Arial"/>
          <w:b/>
          <w:u w:val="single"/>
        </w:rPr>
        <w:t>2.  Maine Guaranteed Access Reinsurance Sustainability Fund.</w:t>
      </w:r>
      <w:r>
        <w:rPr>
          <w:rFonts w:ascii="Arial" w:eastAsia="Arial" w:hAnsi="Arial" w:cs="Arial"/>
          <w:u w:val="single"/>
        </w:rPr>
        <w:t xml:space="preserve">  The Maine Guaranteed Access Reinsurance Sustainability Fund is established as a nonlapsing Other Special Revenue Funds account administered by the superintendent. The fund must receive money transferred in accordance with subsection 3 and may receive additional money from any legislative appropriation, allocation or transfer from any public or private source. Upon receipt of a transfer by the State Controller pursuant to subsection 3, the superintendent shall immediately remit the funds to the association.</w:t>
      </w:r>
      <w:r>
        <w:rPr>
          <w:rFonts w:ascii="Arial" w:eastAsia="Arial" w:hAnsi="Arial" w:cs="Arial"/>
        </w:rPr>
        <w:t xml:space="preserve">   </w:t>
      </w:r>
    </w:p>
    <w:p w:rsidR="008F22D9" w:rsidRPr="00E243DA" w:rsidP="008F22D9">
      <w:pPr>
        <w:ind w:left="360" w:firstLine="360"/>
        <w:rPr>
          <w:rFonts w:ascii="Arial" w:eastAsia="Arial" w:hAnsi="Arial" w:cs="Arial"/>
        </w:rPr>
      </w:pPr>
      <w:bookmarkStart w:id="27" w:name="_PAR__7_436f31a1_e9fe_49b7_a547_77e30d5b"/>
      <w:bookmarkEnd w:id="26"/>
      <w:r w:rsidRPr="00E243DA">
        <w:rPr>
          <w:rFonts w:ascii="Arial" w:eastAsia="Arial" w:hAnsi="Arial" w:cs="Arial"/>
          <w:b/>
          <w:u w:val="single"/>
        </w:rPr>
        <w:t>3.  Transfer of funding.</w:t>
      </w:r>
      <w:r>
        <w:rPr>
          <w:rFonts w:ascii="Arial" w:eastAsia="Arial" w:hAnsi="Arial" w:cs="Arial"/>
          <w:u w:val="single"/>
        </w:rPr>
        <w:t xml:space="preserve">  No later than July 1, 2027 and annually thereafter, the State Controller shall transfer funds from the unappropriated surplus of the General Fund to the Maine Guaranteed Access Reinsurance Sustainability Fund in an amount equal to the premium assessment calculated by the superintendent under subsection 1.</w:t>
      </w:r>
      <w:r>
        <w:rPr>
          <w:rFonts w:ascii="Arial" w:eastAsia="Arial" w:hAnsi="Arial" w:cs="Arial"/>
        </w:rPr>
        <w:t xml:space="preserve">  </w:t>
      </w:r>
    </w:p>
    <w:p w:rsidR="008F22D9" w:rsidP="008F22D9">
      <w:pPr>
        <w:ind w:left="360" w:firstLine="360"/>
        <w:rPr>
          <w:rFonts w:ascii="Arial" w:eastAsia="Arial" w:hAnsi="Arial" w:cs="Arial"/>
        </w:rPr>
      </w:pPr>
      <w:bookmarkStart w:id="28" w:name="_PAR__8_ffb8777d_c05c_4d1a_8b21_0eba89bb"/>
      <w:bookmarkEnd w:id="27"/>
      <w:r w:rsidRPr="00E243DA">
        <w:rPr>
          <w:rFonts w:ascii="Arial" w:eastAsia="Arial" w:hAnsi="Arial" w:cs="Arial"/>
          <w:b/>
          <w:u w:val="single"/>
        </w:rPr>
        <w:t>4.  Use of fund.</w:t>
      </w:r>
      <w:r>
        <w:rPr>
          <w:rFonts w:ascii="Arial" w:eastAsia="Arial" w:hAnsi="Arial" w:cs="Arial"/>
          <w:u w:val="single"/>
        </w:rPr>
        <w:t xml:space="preserve">  The association shall use the funds remitted by the superintendent pursuant to this section to operate a reinsurance program as required by this chapter.</w:t>
      </w:r>
      <w:r>
        <w:rPr>
          <w:rFonts w:ascii="Arial" w:eastAsia="Arial" w:hAnsi="Arial" w:cs="Arial"/>
        </w:rPr>
        <w:t>'</w:t>
      </w:r>
    </w:p>
    <w:p w:rsidR="008F22D9" w:rsidP="008F22D9">
      <w:pPr>
        <w:ind w:left="360" w:firstLine="360"/>
        <w:rPr>
          <w:rFonts w:ascii="Arial" w:eastAsia="Arial" w:hAnsi="Arial" w:cs="Arial"/>
        </w:rPr>
      </w:pPr>
      <w:bookmarkStart w:id="29" w:name="_INSTRUCTION__b3bac599_ffc1_42a1_aea9_8f"/>
      <w:bookmarkStart w:id="30" w:name="_PAR__9_bb8250d8_7f15_4f14_a3d2_e90a251c"/>
      <w:bookmarkEnd w:id="14"/>
      <w:bookmarkEnd w:id="28"/>
      <w:r>
        <w:rPr>
          <w:rFonts w:ascii="Arial" w:eastAsia="Arial" w:hAnsi="Arial" w:cs="Arial"/>
        </w:rPr>
        <w:t>Amend the bill by relettering or renumbering any nonconsecutive Part letter or section number to read consecutively.</w:t>
      </w:r>
    </w:p>
    <w:p w:rsidR="008F22D9" w:rsidP="008F22D9">
      <w:pPr>
        <w:keepNext/>
        <w:spacing w:before="240"/>
        <w:ind w:left="360"/>
        <w:jc w:val="center"/>
        <w:rPr>
          <w:rFonts w:ascii="Arial" w:eastAsia="Arial" w:hAnsi="Arial" w:cs="Arial"/>
        </w:rPr>
      </w:pPr>
      <w:bookmarkStart w:id="31" w:name="_SUMMARY__98685341_0d99_4e7a_9fe9_809e35"/>
      <w:bookmarkStart w:id="32" w:name="_PAR__10_a40ebcb9_68b3_488b_b5b7_07322ee"/>
      <w:bookmarkEnd w:id="29"/>
      <w:bookmarkEnd w:id="30"/>
      <w:r>
        <w:rPr>
          <w:rFonts w:ascii="Arial" w:eastAsia="Arial" w:hAnsi="Arial" w:cs="Arial"/>
          <w:b/>
          <w:sz w:val="24"/>
        </w:rPr>
        <w:t>SUMMARY</w:t>
      </w:r>
    </w:p>
    <w:p w:rsidR="008F22D9" w:rsidP="008F22D9">
      <w:pPr>
        <w:ind w:left="360" w:firstLine="360"/>
        <w:rPr>
          <w:rFonts w:ascii="Arial" w:eastAsia="Arial" w:hAnsi="Arial" w:cs="Arial"/>
        </w:rPr>
      </w:pPr>
      <w:bookmarkStart w:id="33" w:name="_PAR__11_0c99a478_f704_4019_8fd6_dda992f"/>
      <w:bookmarkEnd w:id="32"/>
      <w:r w:rsidRPr="00906464">
        <w:rPr>
          <w:rFonts w:ascii="Arial" w:eastAsia="Arial" w:hAnsi="Arial" w:cs="Arial"/>
        </w:rPr>
        <w:t xml:space="preserve">This amendment replaces the bill and changes the title. </w:t>
      </w:r>
      <w:r>
        <w:rPr>
          <w:rFonts w:ascii="Arial" w:eastAsia="Arial" w:hAnsi="Arial" w:cs="Arial"/>
        </w:rPr>
        <w:t xml:space="preserve"> The amendment requires the Maine Guaranteed Access Reinsurance Association to submit its annual review of solvency to the joint standing committee of the Legislature having jurisdiction over health insurance matters as part of its annual report and also requires the Superintendent of Insurance to notify the committee if the superintendent determines that the funds of the association are insufficient to support reinsurance.</w:t>
      </w:r>
    </w:p>
    <w:p w:rsidR="008F22D9" w:rsidP="008F22D9">
      <w:pPr>
        <w:ind w:left="360" w:firstLine="360"/>
        <w:rPr>
          <w:rFonts w:ascii="Arial" w:eastAsia="Arial" w:hAnsi="Arial" w:cs="Arial"/>
        </w:rPr>
      </w:pPr>
      <w:bookmarkStart w:id="34" w:name="_PAR__12_5818fb3c_d974_4ffe_aae6_8356e50"/>
      <w:bookmarkEnd w:id="33"/>
      <w:r>
        <w:rPr>
          <w:rFonts w:ascii="Arial" w:eastAsia="Arial" w:hAnsi="Arial" w:cs="Arial"/>
        </w:rPr>
        <w:t xml:space="preserve">Beginning March 15, 2027 and annually thereafter, the amendment directs the association to include in its annual report the recommendations of the association's board of directors related to whether to continue, modify or eliminate the assessment authorized under current law or whether additional statutory changes are necessary to support the need for reinsurance.  After conducting an evaluation of the recommendations, the joint standing </w:t>
      </w:r>
      <w:bookmarkStart w:id="35" w:name="_PAGE_SPLIT__a68270b4_053c_452f_8818_25b"/>
      <w:bookmarkStart w:id="36" w:name="_PAGE__3_b03ca7c2_8b5e_463f_ad83_39ac0b1"/>
      <w:bookmarkStart w:id="37" w:name="_PAR__2_d5542f22_6bcb_43f1_8010_400c3df8"/>
      <w:bookmarkEnd w:id="21"/>
      <w:bookmarkEnd w:id="34"/>
      <w:r>
        <w:rPr>
          <w:rFonts w:ascii="Arial" w:eastAsia="Arial" w:hAnsi="Arial" w:cs="Arial"/>
        </w:rPr>
        <w:t>c</w:t>
      </w:r>
      <w:bookmarkEnd w:id="35"/>
      <w:r>
        <w:rPr>
          <w:rFonts w:ascii="Arial" w:eastAsia="Arial" w:hAnsi="Arial" w:cs="Arial"/>
        </w:rPr>
        <w:t>ommittee may report out a bill based on that evaluation to any regular or special session of the Legislature.</w:t>
      </w:r>
    </w:p>
    <w:p w:rsidR="008F22D9" w:rsidP="008F22D9">
      <w:pPr>
        <w:keepNext/>
        <w:ind w:left="360" w:firstLine="360"/>
        <w:rPr>
          <w:rFonts w:ascii="Arial" w:eastAsia="Arial" w:hAnsi="Arial" w:cs="Arial"/>
        </w:rPr>
      </w:pPr>
      <w:bookmarkStart w:id="38" w:name="_PAR__3_6bd3483f_5acc_4af4_9c51_c2302576"/>
      <w:bookmarkEnd w:id="37"/>
      <w:r w:rsidRPr="00906464">
        <w:rPr>
          <w:rFonts w:ascii="Arial" w:eastAsia="Arial" w:hAnsi="Arial" w:cs="Arial"/>
        </w:rPr>
        <w:t>The amendment also directs the Superintendent of Insurance to calculate</w:t>
      </w:r>
      <w:r>
        <w:rPr>
          <w:rFonts w:ascii="Arial" w:eastAsia="Arial" w:hAnsi="Arial" w:cs="Arial"/>
        </w:rPr>
        <w:t>,</w:t>
      </w:r>
      <w:r w:rsidRPr="00906464">
        <w:rPr>
          <w:rFonts w:ascii="Arial" w:eastAsia="Arial" w:hAnsi="Arial" w:cs="Arial"/>
        </w:rPr>
        <w:t xml:space="preserve"> </w:t>
      </w:r>
      <w:r>
        <w:rPr>
          <w:rFonts w:ascii="Arial" w:eastAsia="Arial" w:hAnsi="Arial" w:cs="Arial"/>
        </w:rPr>
        <w:t xml:space="preserve">by March 1, 2027 and annually thereafter, </w:t>
      </w:r>
      <w:r w:rsidRPr="00906464">
        <w:rPr>
          <w:rFonts w:ascii="Arial" w:eastAsia="Arial" w:hAnsi="Arial" w:cs="Arial"/>
        </w:rPr>
        <w:t xml:space="preserve">the amount </w:t>
      </w:r>
      <w:r>
        <w:rPr>
          <w:rFonts w:ascii="Arial" w:eastAsia="Arial" w:hAnsi="Arial" w:cs="Arial"/>
        </w:rPr>
        <w:t xml:space="preserve">that would be payable if all insurers that provide medical insurance on a fully insured basis paid a 1.5% assessment on premiums for the preceding calendar year.  The amendment </w:t>
      </w:r>
      <w:r w:rsidRPr="00906464">
        <w:rPr>
          <w:rFonts w:ascii="Arial" w:eastAsia="Arial" w:hAnsi="Arial" w:cs="Arial"/>
        </w:rPr>
        <w:t>requires that the State provide funding in that amount to the association on an annual basis b</w:t>
      </w:r>
      <w:r>
        <w:rPr>
          <w:rFonts w:ascii="Arial" w:eastAsia="Arial" w:hAnsi="Arial" w:cs="Arial"/>
        </w:rPr>
        <w:t>eginning</w:t>
      </w:r>
      <w:r w:rsidRPr="00906464">
        <w:rPr>
          <w:rFonts w:ascii="Arial" w:eastAsia="Arial" w:hAnsi="Arial" w:cs="Arial"/>
        </w:rPr>
        <w:t xml:space="preserve"> July 1, 2027.</w:t>
      </w:r>
    </w:p>
    <w:p w:rsidR="008F22D9" w:rsidP="008F22D9">
      <w:pPr>
        <w:keepNext/>
        <w:spacing w:before="60" w:after="60"/>
        <w:ind w:left="360"/>
        <w:jc w:val="center"/>
        <w:rPr>
          <w:rFonts w:ascii="Arial" w:eastAsia="Arial" w:hAnsi="Arial" w:cs="Arial"/>
        </w:rPr>
      </w:pPr>
      <w:bookmarkStart w:id="39" w:name="_FISCAL_NOTE_REQUIRED__26dd7364_6b24_43d"/>
      <w:bookmarkStart w:id="40" w:name="_PAR__4_b7419a64_c55e_4638_96d5_c41126d8"/>
      <w:bookmarkEnd w:id="38"/>
      <w:r>
        <w:rPr>
          <w:rFonts w:ascii="Arial" w:eastAsia="Arial" w:hAnsi="Arial" w:cs="Arial"/>
          <w:b/>
        </w:rPr>
        <w:t>FISCAL NOTE REQUIRED</w:t>
      </w:r>
    </w:p>
    <w:p w:rsidR="00000000" w:rsidRPr="008F22D9" w:rsidP="008F22D9">
      <w:pPr>
        <w:spacing w:before="60" w:after="60"/>
        <w:ind w:left="360"/>
        <w:jc w:val="center"/>
        <w:rPr>
          <w:rFonts w:ascii="Arial" w:eastAsia="Arial" w:hAnsi="Arial" w:cs="Arial"/>
          <w:b/>
        </w:rPr>
      </w:pPr>
      <w:bookmarkStart w:id="41" w:name="_PAR__5_e6234876_2787_40eb_9d04_89dd81db"/>
      <w:bookmarkEnd w:id="40"/>
      <w:r>
        <w:rPr>
          <w:rFonts w:ascii="Arial" w:eastAsia="Arial" w:hAnsi="Arial" w:cs="Arial"/>
          <w:b/>
        </w:rPr>
        <w:t>(See attached)</w:t>
      </w:r>
      <w:bookmarkEnd w:id="31"/>
      <w:bookmarkEnd w:id="36"/>
      <w:bookmarkEnd w:id="39"/>
      <w:bookmarkEnd w:id="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LR1965,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Address the Long-term Sustainability of the Maine Guaranteed Access Reinsurance Association</w:t>
    </w:r>
  </w:p>
  <w:p>
    <w:pPr>
      <w:suppressLineNumbers/>
      <w:spacing w:before="0" w:after="0"/>
      <w:jc w:val="center"/>
      <w:rPr>
        <w:rFonts w:ascii="Arial" w:eastAsia="Arial" w:hAnsi="Arial" w:cs="Arial"/>
      </w:rPr>
    </w:pPr>
    <w:r>
      <w:rPr>
        <w:rFonts w:ascii="Arial" w:eastAsia="Arial" w:hAnsi="Arial" w:cs="Arial"/>
        <w:sz w:val="22"/>
      </w:rPr>
      <w:t>L.D. 519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F22D9"/>
    <w:rsid w:val="00906464"/>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43DA"/>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