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In-court Appearance Requirements for Persons Authorized to Serve Eviction Notices and the Process for Serving a Writ of Possession</w:t>
      </w:r>
    </w:p>
    <w:p w:rsidR="00F544F2" w:rsidP="00F544F2">
      <w:pPr>
        <w:spacing w:after="240"/>
        <w:ind w:left="360"/>
        <w:jc w:val="right"/>
        <w:rPr>
          <w:rFonts w:ascii="Arial" w:eastAsia="Arial" w:hAnsi="Arial" w:cs="Arial"/>
          <w:caps/>
        </w:rPr>
      </w:pPr>
      <w:bookmarkStart w:id="0" w:name="_AMEND_TITLE__af8c848a_11cd_4893_b0cd_b8"/>
      <w:bookmarkStart w:id="1" w:name="_PAGE__1_1a63de92_ec55_48bc_85c7_058c3f1"/>
      <w:bookmarkStart w:id="2" w:name="_PAR__2_f0009703_8789_46ef_a491_07bf4d05"/>
      <w:r>
        <w:rPr>
          <w:rFonts w:ascii="Arial" w:eastAsia="Arial" w:hAnsi="Arial" w:cs="Arial"/>
          <w:caps/>
        </w:rPr>
        <w:t>L.D. 347</w:t>
      </w:r>
    </w:p>
    <w:p w:rsidR="00F544F2" w:rsidP="00F544F2">
      <w:pPr>
        <w:tabs>
          <w:tab w:val="right" w:pos="8928"/>
        </w:tabs>
        <w:spacing w:after="360"/>
        <w:ind w:left="360"/>
        <w:rPr>
          <w:rFonts w:ascii="Arial" w:eastAsia="Arial" w:hAnsi="Arial" w:cs="Arial"/>
        </w:rPr>
      </w:pPr>
      <w:bookmarkStart w:id="3" w:name="_PAR__3_be07d95b_5c77_4f98_9104_558abe8b"/>
      <w:bookmarkEnd w:id="2"/>
      <w:r>
        <w:rPr>
          <w:rFonts w:ascii="Arial" w:eastAsia="Arial" w:hAnsi="Arial" w:cs="Arial"/>
        </w:rPr>
        <w:t>Date:</w:t>
      </w:r>
      <w:r>
        <w:rPr>
          <w:rFonts w:ascii="Arial" w:eastAsia="Arial" w:hAnsi="Arial" w:cs="Arial"/>
        </w:rPr>
        <w:tab/>
        <w:t>(Filing No. H-         )</w:t>
      </w:r>
    </w:p>
    <w:p w:rsidR="00F544F2" w:rsidP="00F544F2">
      <w:pPr>
        <w:spacing w:before="600" w:after="300"/>
        <w:ind w:left="360"/>
        <w:jc w:val="center"/>
        <w:outlineLvl w:val="0"/>
        <w:rPr>
          <w:rFonts w:ascii="Arial" w:eastAsia="Arial" w:hAnsi="Arial" w:cs="Arial"/>
        </w:rPr>
      </w:pPr>
      <w:bookmarkStart w:id="4" w:name="_PAR__4_e1fde0d6_9ee0_40b5_87f7_eb7d7e95"/>
      <w:bookmarkEnd w:id="3"/>
      <w:r>
        <w:rPr>
          <w:rFonts w:ascii="Arial" w:eastAsia="Arial" w:hAnsi="Arial" w:cs="Arial"/>
          <w:b/>
          <w:caps/>
          <w:sz w:val="24"/>
          <w:szCs w:val="32"/>
        </w:rPr>
        <w:t xml:space="preserve">Judiciary </w:t>
      </w:r>
    </w:p>
    <w:p w:rsidR="00F544F2" w:rsidP="00F544F2">
      <w:pPr>
        <w:spacing w:before="60" w:after="60"/>
        <w:ind w:left="720"/>
        <w:rPr>
          <w:rFonts w:ascii="Arial" w:eastAsia="Arial" w:hAnsi="Arial" w:cs="Arial"/>
        </w:rPr>
      </w:pPr>
      <w:bookmarkStart w:id="5" w:name="_PAR__5_9bf8a72b_fea7_43b9_9f6a_d7008f22"/>
      <w:bookmarkEnd w:id="4"/>
      <w:r>
        <w:rPr>
          <w:rFonts w:ascii="Arial" w:eastAsia="Arial" w:hAnsi="Arial" w:cs="Arial"/>
        </w:rPr>
        <w:t>Reproduced and distributed under the direction of the Clerk of the House.</w:t>
      </w:r>
    </w:p>
    <w:p w:rsidR="00F544F2" w:rsidP="00F544F2">
      <w:pPr>
        <w:spacing w:before="160" w:after="0"/>
        <w:ind w:left="360"/>
        <w:jc w:val="center"/>
        <w:outlineLvl w:val="0"/>
        <w:rPr>
          <w:rFonts w:ascii="Arial" w:eastAsia="Arial" w:hAnsi="Arial" w:cs="Arial"/>
          <w:b/>
          <w:caps/>
          <w:sz w:val="24"/>
          <w:szCs w:val="32"/>
        </w:rPr>
      </w:pPr>
      <w:bookmarkStart w:id="6" w:name="_PAR__6_f3f162ec_533c_4e6d_adbe_54a82224"/>
      <w:bookmarkEnd w:id="5"/>
      <w:r>
        <w:rPr>
          <w:rFonts w:ascii="Arial" w:eastAsia="Arial" w:hAnsi="Arial" w:cs="Arial"/>
          <w:b/>
          <w:caps/>
          <w:sz w:val="24"/>
          <w:szCs w:val="32"/>
        </w:rPr>
        <w:t>STATE OF MAINE</w:t>
      </w:r>
    </w:p>
    <w:p w:rsidR="00F544F2" w:rsidP="00F544F2">
      <w:pPr>
        <w:spacing w:after="0"/>
        <w:ind w:left="360"/>
        <w:jc w:val="center"/>
        <w:outlineLvl w:val="0"/>
        <w:rPr>
          <w:rFonts w:ascii="Arial" w:eastAsia="Arial" w:hAnsi="Arial" w:cs="Arial"/>
          <w:b/>
          <w:caps/>
          <w:sz w:val="24"/>
          <w:szCs w:val="32"/>
        </w:rPr>
      </w:pPr>
      <w:bookmarkStart w:id="7" w:name="_PAR__7_546200c7_6873_4a38_813a_b8dc6b69"/>
      <w:bookmarkEnd w:id="6"/>
      <w:r>
        <w:rPr>
          <w:rFonts w:ascii="Arial" w:eastAsia="Arial" w:hAnsi="Arial" w:cs="Arial"/>
          <w:b/>
          <w:caps/>
          <w:sz w:val="24"/>
          <w:szCs w:val="32"/>
        </w:rPr>
        <w:t>HOUSE OF REPRESENTATIVES</w:t>
      </w:r>
    </w:p>
    <w:p w:rsidR="00F544F2" w:rsidP="00F544F2">
      <w:pPr>
        <w:spacing w:after="0"/>
        <w:ind w:left="360"/>
        <w:jc w:val="center"/>
        <w:outlineLvl w:val="0"/>
        <w:rPr>
          <w:rFonts w:ascii="Arial" w:eastAsia="Arial" w:hAnsi="Arial" w:cs="Arial"/>
          <w:b/>
          <w:caps/>
          <w:sz w:val="24"/>
          <w:szCs w:val="32"/>
        </w:rPr>
      </w:pPr>
      <w:bookmarkStart w:id="8" w:name="_PAR__8_dd6f9898_3618_4c31_98d3_69c7be07"/>
      <w:bookmarkEnd w:id="7"/>
      <w:r>
        <w:rPr>
          <w:rFonts w:ascii="Arial" w:eastAsia="Arial" w:hAnsi="Arial" w:cs="Arial"/>
          <w:b/>
          <w:caps/>
          <w:sz w:val="24"/>
          <w:szCs w:val="32"/>
        </w:rPr>
        <w:t>131st Legislature</w:t>
      </w:r>
    </w:p>
    <w:p w:rsidR="00F544F2" w:rsidP="00F544F2">
      <w:pPr>
        <w:spacing w:after="0"/>
        <w:ind w:left="360"/>
        <w:jc w:val="center"/>
        <w:outlineLvl w:val="0"/>
        <w:rPr>
          <w:rFonts w:ascii="Arial" w:eastAsia="Arial" w:hAnsi="Arial" w:cs="Arial"/>
          <w:b/>
          <w:caps/>
          <w:sz w:val="24"/>
          <w:szCs w:val="32"/>
        </w:rPr>
      </w:pPr>
      <w:bookmarkStart w:id="9" w:name="_PAR__9_2f64dc05_de60_4276_8a20_2b8e6903"/>
      <w:bookmarkEnd w:id="8"/>
      <w:r>
        <w:rPr>
          <w:rFonts w:ascii="Arial" w:eastAsia="Arial" w:hAnsi="Arial" w:cs="Arial"/>
          <w:b/>
          <w:caps/>
          <w:sz w:val="24"/>
          <w:szCs w:val="32"/>
        </w:rPr>
        <w:t>First Special Session</w:t>
      </w:r>
    </w:p>
    <w:p w:rsidR="00F544F2" w:rsidP="00F544F2">
      <w:pPr>
        <w:spacing w:before="400" w:after="200"/>
        <w:ind w:left="360" w:firstLine="360"/>
        <w:rPr>
          <w:rFonts w:ascii="Arial" w:eastAsia="Arial" w:hAnsi="Arial" w:cs="Arial"/>
        </w:rPr>
      </w:pPr>
      <w:bookmarkStart w:id="10" w:name="_PAR__10_0fd19c71_a78a_4e6c_90af_d661225"/>
      <w:bookmarkEnd w:id="9"/>
      <w:r>
        <w:rPr>
          <w:rFonts w:ascii="Arial" w:eastAsia="Arial" w:hAnsi="Arial" w:cs="Arial"/>
          <w:szCs w:val="22"/>
        </w:rPr>
        <w:t>COMMITTEE AMENDMENT “      ” to H.P. 221, L.D. 347, “An Act Regarding In-court Appearance Requirements for Persons Authorized to Serve Eviction Notices and the Process for Serving a Writ of Possession”</w:t>
      </w:r>
    </w:p>
    <w:p w:rsidR="00F544F2" w:rsidP="00F544F2">
      <w:pPr>
        <w:ind w:left="360" w:firstLine="360"/>
        <w:rPr>
          <w:rFonts w:ascii="Arial" w:eastAsia="Arial" w:hAnsi="Arial" w:cs="Arial"/>
        </w:rPr>
      </w:pPr>
      <w:bookmarkStart w:id="11" w:name="_INSTRUCTION__98194e41_a472_4742_a3c4_b1"/>
      <w:bookmarkStart w:id="12" w:name="_PAR__11_320fc074_09ba_4a72_81c7_048960e"/>
      <w:bookmarkEnd w:id="0"/>
      <w:bookmarkEnd w:id="10"/>
      <w:r>
        <w:rPr>
          <w:rFonts w:ascii="Arial" w:eastAsia="Arial" w:hAnsi="Arial" w:cs="Arial"/>
        </w:rPr>
        <w:t>Amend the bill by striking out the title and substituting the following:</w:t>
      </w:r>
    </w:p>
    <w:p w:rsidR="00F544F2" w:rsidP="00F544F2">
      <w:pPr>
        <w:ind w:left="360"/>
        <w:rPr>
          <w:rFonts w:ascii="Arial" w:eastAsia="Arial" w:hAnsi="Arial" w:cs="Arial"/>
        </w:rPr>
      </w:pPr>
      <w:bookmarkStart w:id="13" w:name="_PAR__12_53326c7d_aded_4e43_8cdd_d153cf7"/>
      <w:bookmarkEnd w:id="12"/>
      <w:r>
        <w:rPr>
          <w:rFonts w:ascii="Arial" w:eastAsia="Arial" w:hAnsi="Arial" w:cs="Arial"/>
          <w:b/>
        </w:rPr>
        <w:t>'An Act Regarding In-court Appearance Requirements for Persons Authorized to Serve Eviction Notices'</w:t>
      </w:r>
    </w:p>
    <w:p w:rsidR="00F544F2" w:rsidP="00F544F2">
      <w:pPr>
        <w:ind w:left="360" w:firstLine="360"/>
        <w:rPr>
          <w:rFonts w:ascii="Arial" w:eastAsia="Arial" w:hAnsi="Arial" w:cs="Arial"/>
        </w:rPr>
      </w:pPr>
      <w:bookmarkStart w:id="14" w:name="_INSTRUCTION__83c8b48e_7d9a_4ea4_9c58_9d"/>
      <w:bookmarkStart w:id="15" w:name="_PAR__13_f6ad95a6_9970_43ae_b688_9d04578"/>
      <w:bookmarkEnd w:id="11"/>
      <w:bookmarkEnd w:id="13"/>
      <w:r>
        <w:rPr>
          <w:rFonts w:ascii="Arial" w:eastAsia="Arial" w:hAnsi="Arial" w:cs="Arial"/>
        </w:rPr>
        <w:t>Amend the bill by striking out everything after the enacting clause and inserting the following:</w:t>
      </w:r>
    </w:p>
    <w:p w:rsidR="00F544F2" w:rsidP="00F544F2">
      <w:pPr>
        <w:ind w:left="360" w:firstLine="360"/>
        <w:rPr>
          <w:rFonts w:ascii="Arial" w:eastAsia="Arial" w:hAnsi="Arial" w:cs="Arial"/>
        </w:rPr>
      </w:pPr>
      <w:bookmarkStart w:id="16" w:name="_PAR__14_34751c0a_72a0_440d_9ad5_25779e3"/>
      <w:bookmarkEnd w:id="15"/>
      <w:r>
        <w:rPr>
          <w:rFonts w:ascii="Arial" w:eastAsia="Arial" w:hAnsi="Arial" w:cs="Arial"/>
        </w:rPr>
        <w:t>'</w:t>
      </w:r>
      <w:r>
        <w:rPr>
          <w:rFonts w:ascii="Arial" w:eastAsia="Arial" w:hAnsi="Arial" w:cs="Arial"/>
          <w:b/>
          <w:sz w:val="24"/>
        </w:rPr>
        <w:t>Sec. 1.  14 MRSA §6001, sub-§7</w:t>
      </w:r>
      <w:r>
        <w:rPr>
          <w:rFonts w:ascii="Arial" w:eastAsia="Arial" w:hAnsi="Arial" w:cs="Arial"/>
        </w:rPr>
        <w:t xml:space="preserve"> is enacted to read:</w:t>
      </w:r>
    </w:p>
    <w:p w:rsidR="00F544F2" w:rsidP="00F544F2">
      <w:pPr>
        <w:ind w:left="360" w:firstLine="360"/>
        <w:rPr>
          <w:rFonts w:ascii="Arial" w:eastAsia="Arial" w:hAnsi="Arial" w:cs="Arial"/>
        </w:rPr>
      </w:pPr>
      <w:bookmarkStart w:id="17" w:name="_PAR__15_86153335_a2ab_49c7_8c3a_71c6833"/>
      <w:bookmarkEnd w:id="16"/>
      <w:r>
        <w:rPr>
          <w:rFonts w:ascii="Arial" w:eastAsia="Arial" w:hAnsi="Arial" w:cs="Arial"/>
          <w:b/>
          <w:u w:val="single"/>
        </w:rPr>
        <w:t xml:space="preserve">7.  Service of notice. </w:t>
      </w:r>
      <w:r>
        <w:rPr>
          <w:rFonts w:ascii="Arial" w:eastAsia="Arial" w:hAnsi="Arial" w:cs="Arial"/>
          <w:u w:val="single"/>
        </w:rPr>
        <w:t xml:space="preserve"> If a notice served pursuant to this section, section 6002, section 6025 or Title 10, section 9097 is served by a person authorized to make service under section 702 or 703, that notice is admissible in evidence for the purpose of proving service occurred and the person who provided service may attend the court hearing remotely if that person is required to testify to the service of the notice.</w:t>
      </w:r>
      <w:r>
        <w:rPr>
          <w:rFonts w:ascii="Arial" w:eastAsia="Arial" w:hAnsi="Arial" w:cs="Arial"/>
        </w:rPr>
        <w:t>'</w:t>
      </w:r>
    </w:p>
    <w:p w:rsidR="00F544F2" w:rsidP="00F544F2">
      <w:pPr>
        <w:ind w:left="360" w:firstLine="360"/>
        <w:rPr>
          <w:rFonts w:ascii="Arial" w:eastAsia="Arial" w:hAnsi="Arial" w:cs="Arial"/>
        </w:rPr>
      </w:pPr>
      <w:bookmarkStart w:id="18" w:name="_INSTRUCTION__7a1e872e_b476_41e0_b525_97"/>
      <w:bookmarkStart w:id="19" w:name="_PAR__16_50065822_5174_4bac_b1f8_295feca"/>
      <w:bookmarkEnd w:id="14"/>
      <w:bookmarkEnd w:id="17"/>
      <w:r>
        <w:rPr>
          <w:rFonts w:ascii="Arial" w:eastAsia="Arial" w:hAnsi="Arial" w:cs="Arial"/>
        </w:rPr>
        <w:t>Amend the bill by relettering or renumbering any nonconsecutive Part letter or section number to read consecutively.</w:t>
      </w:r>
    </w:p>
    <w:p w:rsidR="00F544F2" w:rsidP="00F544F2">
      <w:pPr>
        <w:keepNext/>
        <w:spacing w:before="240"/>
        <w:ind w:left="360"/>
        <w:jc w:val="center"/>
        <w:rPr>
          <w:rFonts w:ascii="Arial" w:eastAsia="Arial" w:hAnsi="Arial" w:cs="Arial"/>
        </w:rPr>
      </w:pPr>
      <w:bookmarkStart w:id="20" w:name="_SUMMARY__18b9abcf_b12c_4e54_83c4_606147"/>
      <w:bookmarkStart w:id="21" w:name="_PAR__17_1cff6fcb_0746_41fb_bcb6_7364ae2"/>
      <w:bookmarkEnd w:id="18"/>
      <w:bookmarkEnd w:id="19"/>
      <w:r>
        <w:rPr>
          <w:rFonts w:ascii="Arial" w:eastAsia="Arial" w:hAnsi="Arial" w:cs="Arial"/>
          <w:b/>
          <w:sz w:val="24"/>
        </w:rPr>
        <w:t>SUMMARY</w:t>
      </w:r>
    </w:p>
    <w:p w:rsidR="00000000" w:rsidP="00F544F2">
      <w:pPr>
        <w:ind w:left="360" w:firstLine="360"/>
        <w:rPr>
          <w:rFonts w:ascii="Arial" w:eastAsia="Arial" w:hAnsi="Arial" w:cs="Arial"/>
        </w:rPr>
      </w:pPr>
      <w:bookmarkStart w:id="22" w:name="_PAR__18_5199c2c8_8747_45c0_a22f_cb48ab5"/>
      <w:bookmarkEnd w:id="21"/>
      <w:r w:rsidRPr="00F60F09">
        <w:rPr>
          <w:rFonts w:ascii="Arial" w:eastAsia="Arial" w:hAnsi="Arial" w:cs="Arial"/>
        </w:rPr>
        <w:t>This amendment allows a sheriff</w:t>
      </w:r>
      <w:r>
        <w:rPr>
          <w:rFonts w:ascii="Arial" w:eastAsia="Arial" w:hAnsi="Arial" w:cs="Arial"/>
        </w:rPr>
        <w:t>, deputy</w:t>
      </w:r>
      <w:r w:rsidRPr="00F60F09">
        <w:rPr>
          <w:rFonts w:ascii="Arial" w:eastAsia="Arial" w:hAnsi="Arial" w:cs="Arial"/>
        </w:rPr>
        <w:t xml:space="preserve"> or constable who provided service in connection with an eviction to attend the court hearing remotely, if that person is required to testify to the service of the notice. </w:t>
      </w:r>
      <w:r>
        <w:rPr>
          <w:rFonts w:ascii="Arial" w:eastAsia="Arial" w:hAnsi="Arial" w:cs="Arial"/>
        </w:rPr>
        <w:t>The</w:t>
      </w:r>
      <w:r w:rsidRPr="00F60F09">
        <w:rPr>
          <w:rFonts w:ascii="Arial" w:eastAsia="Arial" w:hAnsi="Arial" w:cs="Arial"/>
        </w:rPr>
        <w:t xml:space="preserve"> amendment also allows the notice delivered by a sheriff</w:t>
      </w:r>
      <w:r>
        <w:rPr>
          <w:rFonts w:ascii="Arial" w:eastAsia="Arial" w:hAnsi="Arial" w:cs="Arial"/>
        </w:rPr>
        <w:t>, deputy</w:t>
      </w:r>
      <w:r w:rsidRPr="00F60F09">
        <w:rPr>
          <w:rFonts w:ascii="Arial" w:eastAsia="Arial" w:hAnsi="Arial" w:cs="Arial"/>
        </w:rPr>
        <w:t xml:space="preserve"> or constable to be admissible in evidence for the purpose of proving service occurred.</w:t>
      </w:r>
      <w:bookmarkEnd w:id="1"/>
      <w:bookmarkEnd w:id="20"/>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LR0267,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In-court Appearance Requirements for Persons Authorized to Serve Eviction Notices</w:t>
    </w:r>
  </w:p>
  <w:p>
    <w:pPr>
      <w:suppressLineNumbers/>
      <w:spacing w:before="0" w:after="0"/>
      <w:jc w:val="center"/>
      <w:rPr>
        <w:rFonts w:ascii="Arial" w:eastAsia="Arial" w:hAnsi="Arial" w:cs="Arial"/>
      </w:rPr>
    </w:pPr>
    <w:r>
      <w:rPr>
        <w:rFonts w:ascii="Arial" w:eastAsia="Arial" w:hAnsi="Arial" w:cs="Arial"/>
        <w:sz w:val="22"/>
      </w:rPr>
      <w:t>L.D. 347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544F2"/>
    <w:rsid w:val="00F60F09"/>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