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Use of Tax Increment Financing Funds for Constructing or Renovating Municipal Offices and Other Municipal Buildings</w:t>
      </w:r>
    </w:p>
    <w:p w:rsidR="009A67BF" w:rsidP="009A67BF">
      <w:pPr>
        <w:spacing w:after="240"/>
        <w:ind w:left="360"/>
        <w:jc w:val="right"/>
        <w:rPr>
          <w:rFonts w:ascii="Arial" w:eastAsia="Arial" w:hAnsi="Arial" w:cs="Arial"/>
          <w:caps/>
        </w:rPr>
      </w:pPr>
      <w:bookmarkStart w:id="0" w:name="_AMEND_TITLE__df219d33_b0dc_436f_aab6_f7"/>
      <w:bookmarkStart w:id="1" w:name="_PAGE__1_9bc39f59_d312_49ac_a659_0c12c58"/>
      <w:bookmarkStart w:id="2" w:name="_PAR__2_d32eccde_6080_4588_8caf_c3bf8db6"/>
      <w:r>
        <w:rPr>
          <w:rFonts w:ascii="Arial" w:eastAsia="Arial" w:hAnsi="Arial" w:cs="Arial"/>
          <w:caps/>
        </w:rPr>
        <w:t>L.D. 286</w:t>
      </w:r>
    </w:p>
    <w:p w:rsidR="009A67BF" w:rsidP="009A67BF">
      <w:pPr>
        <w:tabs>
          <w:tab w:val="right" w:pos="8928"/>
        </w:tabs>
        <w:spacing w:after="360"/>
        <w:ind w:left="360"/>
        <w:rPr>
          <w:rFonts w:ascii="Arial" w:eastAsia="Arial" w:hAnsi="Arial" w:cs="Arial"/>
        </w:rPr>
      </w:pPr>
      <w:bookmarkStart w:id="3" w:name="_PAR__3_c0d70ba5_ff92_4524_b718_baa314f3"/>
      <w:bookmarkEnd w:id="2"/>
      <w:r>
        <w:rPr>
          <w:rFonts w:ascii="Arial" w:eastAsia="Arial" w:hAnsi="Arial" w:cs="Arial"/>
        </w:rPr>
        <w:t>Date:</w:t>
      </w:r>
      <w:r>
        <w:rPr>
          <w:rFonts w:ascii="Arial" w:eastAsia="Arial" w:hAnsi="Arial" w:cs="Arial"/>
        </w:rPr>
        <w:tab/>
        <w:t>(Filing No. H-         )</w:t>
      </w:r>
    </w:p>
    <w:p w:rsidR="009A67BF" w:rsidP="009A67BF">
      <w:pPr>
        <w:spacing w:before="600" w:after="300"/>
        <w:ind w:left="360"/>
        <w:jc w:val="center"/>
        <w:outlineLvl w:val="0"/>
        <w:rPr>
          <w:rFonts w:ascii="Arial" w:eastAsia="Arial" w:hAnsi="Arial" w:cs="Arial"/>
        </w:rPr>
      </w:pPr>
      <w:bookmarkStart w:id="4" w:name="_PAR__4_25cfffec_7cb8_49a0_9297_7eecc98e"/>
      <w:bookmarkEnd w:id="3"/>
      <w:r>
        <w:rPr>
          <w:rFonts w:ascii="Arial" w:eastAsia="Arial" w:hAnsi="Arial" w:cs="Arial"/>
          <w:b/>
          <w:caps/>
          <w:sz w:val="24"/>
          <w:szCs w:val="32"/>
        </w:rPr>
        <w:t xml:space="preserve">Taxation </w:t>
      </w:r>
    </w:p>
    <w:p w:rsidR="009A67BF" w:rsidP="009A67BF">
      <w:pPr>
        <w:spacing w:before="60" w:after="60"/>
        <w:ind w:left="720"/>
        <w:rPr>
          <w:rFonts w:ascii="Arial" w:eastAsia="Arial" w:hAnsi="Arial" w:cs="Arial"/>
        </w:rPr>
      </w:pPr>
      <w:bookmarkStart w:id="5" w:name="_PAR__5_31e85d9c_5129_44df_8653_8221c46b"/>
      <w:bookmarkEnd w:id="4"/>
      <w:r>
        <w:rPr>
          <w:rFonts w:ascii="Arial" w:eastAsia="Arial" w:hAnsi="Arial" w:cs="Arial"/>
        </w:rPr>
        <w:t>Reproduced and distributed under the direction of the Clerk of the House.</w:t>
      </w:r>
    </w:p>
    <w:p w:rsidR="009A67BF" w:rsidP="009A67BF">
      <w:pPr>
        <w:spacing w:before="160" w:after="0"/>
        <w:ind w:left="360"/>
        <w:jc w:val="center"/>
        <w:outlineLvl w:val="0"/>
        <w:rPr>
          <w:rFonts w:ascii="Arial" w:eastAsia="Arial" w:hAnsi="Arial" w:cs="Arial"/>
          <w:b/>
          <w:caps/>
          <w:sz w:val="24"/>
          <w:szCs w:val="32"/>
        </w:rPr>
      </w:pPr>
      <w:bookmarkStart w:id="6" w:name="_PAR__6_68077d86_b555_46f3_8e72_d22488b5"/>
      <w:bookmarkEnd w:id="5"/>
      <w:r>
        <w:rPr>
          <w:rFonts w:ascii="Arial" w:eastAsia="Arial" w:hAnsi="Arial" w:cs="Arial"/>
          <w:b/>
          <w:caps/>
          <w:sz w:val="24"/>
          <w:szCs w:val="32"/>
        </w:rPr>
        <w:t>STATE OF MAINE</w:t>
      </w:r>
    </w:p>
    <w:p w:rsidR="009A67BF" w:rsidP="009A67BF">
      <w:pPr>
        <w:spacing w:after="0"/>
        <w:ind w:left="360"/>
        <w:jc w:val="center"/>
        <w:outlineLvl w:val="0"/>
        <w:rPr>
          <w:rFonts w:ascii="Arial" w:eastAsia="Arial" w:hAnsi="Arial" w:cs="Arial"/>
          <w:b/>
          <w:caps/>
          <w:sz w:val="24"/>
          <w:szCs w:val="32"/>
        </w:rPr>
      </w:pPr>
      <w:bookmarkStart w:id="7" w:name="_PAR__7_e29bb4b9_363a_4ca9_9b59_79aa6c17"/>
      <w:bookmarkEnd w:id="6"/>
      <w:r>
        <w:rPr>
          <w:rFonts w:ascii="Arial" w:eastAsia="Arial" w:hAnsi="Arial" w:cs="Arial"/>
          <w:b/>
          <w:caps/>
          <w:sz w:val="24"/>
          <w:szCs w:val="32"/>
        </w:rPr>
        <w:t>HOUSE OF REPRESENTATIVES</w:t>
      </w:r>
    </w:p>
    <w:p w:rsidR="009A67BF" w:rsidP="009A67BF">
      <w:pPr>
        <w:spacing w:after="0"/>
        <w:ind w:left="360"/>
        <w:jc w:val="center"/>
        <w:outlineLvl w:val="0"/>
        <w:rPr>
          <w:rFonts w:ascii="Arial" w:eastAsia="Arial" w:hAnsi="Arial" w:cs="Arial"/>
          <w:b/>
          <w:caps/>
          <w:sz w:val="24"/>
          <w:szCs w:val="32"/>
        </w:rPr>
      </w:pPr>
      <w:bookmarkStart w:id="8" w:name="_PAR__8_50728cd1_3f97_4489_bab0_e3724262"/>
      <w:bookmarkEnd w:id="7"/>
      <w:r>
        <w:rPr>
          <w:rFonts w:ascii="Arial" w:eastAsia="Arial" w:hAnsi="Arial" w:cs="Arial"/>
          <w:b/>
          <w:caps/>
          <w:sz w:val="24"/>
          <w:szCs w:val="32"/>
        </w:rPr>
        <w:t>131st Legislature</w:t>
      </w:r>
    </w:p>
    <w:p w:rsidR="009A67BF" w:rsidP="009A67BF">
      <w:pPr>
        <w:spacing w:after="0"/>
        <w:ind w:left="360"/>
        <w:jc w:val="center"/>
        <w:outlineLvl w:val="0"/>
        <w:rPr>
          <w:rFonts w:ascii="Arial" w:eastAsia="Arial" w:hAnsi="Arial" w:cs="Arial"/>
          <w:b/>
          <w:caps/>
          <w:sz w:val="24"/>
          <w:szCs w:val="32"/>
        </w:rPr>
      </w:pPr>
      <w:bookmarkStart w:id="9" w:name="_PAR__9_42eb57c4_7b1f_4ae4_bda5_28c71206"/>
      <w:bookmarkEnd w:id="8"/>
      <w:r>
        <w:rPr>
          <w:rFonts w:ascii="Arial" w:eastAsia="Arial" w:hAnsi="Arial" w:cs="Arial"/>
          <w:b/>
          <w:caps/>
          <w:sz w:val="24"/>
          <w:szCs w:val="32"/>
        </w:rPr>
        <w:t>First Special Session</w:t>
      </w:r>
    </w:p>
    <w:p w:rsidR="009A67BF" w:rsidP="009A67BF">
      <w:pPr>
        <w:spacing w:before="400" w:after="200"/>
        <w:ind w:left="360" w:firstLine="360"/>
        <w:rPr>
          <w:rFonts w:ascii="Arial" w:eastAsia="Arial" w:hAnsi="Arial" w:cs="Arial"/>
        </w:rPr>
      </w:pPr>
      <w:bookmarkStart w:id="10" w:name="_PAR__10_4d26d6b3_6224_4e4f_b1c9_b910ad6"/>
      <w:bookmarkEnd w:id="9"/>
      <w:r>
        <w:rPr>
          <w:rFonts w:ascii="Arial" w:eastAsia="Arial" w:hAnsi="Arial" w:cs="Arial"/>
          <w:szCs w:val="22"/>
        </w:rPr>
        <w:t>COMMITTEE AMENDMENT “      ” to H.P. 184, L.D. 286, “An Act to Authorize the Use of Tax Increment Financing Funds for Constructing or Renovating Municipal Offices and Other Municipal Buildings”</w:t>
      </w:r>
    </w:p>
    <w:p w:rsidR="009A67BF" w:rsidP="009A67BF">
      <w:pPr>
        <w:ind w:left="360" w:firstLine="360"/>
        <w:rPr>
          <w:rFonts w:ascii="Arial" w:eastAsia="Arial" w:hAnsi="Arial" w:cs="Arial"/>
        </w:rPr>
      </w:pPr>
      <w:bookmarkStart w:id="11" w:name="_INSTRUCTION__c8d01296_a1f1_44ed_82fc_0e"/>
      <w:bookmarkStart w:id="12" w:name="_PAR__11_07797552_b513_40e6_9c97_0efeb9b"/>
      <w:bookmarkEnd w:id="0"/>
      <w:bookmarkEnd w:id="10"/>
      <w:r>
        <w:rPr>
          <w:rFonts w:ascii="Arial" w:eastAsia="Arial" w:hAnsi="Arial" w:cs="Arial"/>
        </w:rPr>
        <w:t>Amend the bill by striking out the title and substituting the following:</w:t>
      </w:r>
    </w:p>
    <w:p w:rsidR="009A67BF" w:rsidP="009A67BF">
      <w:pPr>
        <w:ind w:left="360"/>
        <w:rPr>
          <w:rFonts w:ascii="Arial" w:eastAsia="Arial" w:hAnsi="Arial" w:cs="Arial"/>
        </w:rPr>
      </w:pPr>
      <w:bookmarkStart w:id="13" w:name="_PAR__12_a01cbb8a_b4f3_49b8_a4c9_1d0ae56"/>
      <w:bookmarkEnd w:id="12"/>
      <w:r>
        <w:rPr>
          <w:rFonts w:ascii="Arial" w:eastAsia="Arial" w:hAnsi="Arial" w:cs="Arial"/>
          <w:b/>
        </w:rPr>
        <w:t>'An Act to Authorize the Use of Tax Increment Financing Funds for Constructing or Renovating Local Central Administrative Offices'</w:t>
      </w:r>
    </w:p>
    <w:p w:rsidR="009A67BF" w:rsidP="009A67BF">
      <w:pPr>
        <w:ind w:left="360" w:firstLine="360"/>
        <w:rPr>
          <w:rFonts w:ascii="Arial" w:eastAsia="Arial" w:hAnsi="Arial" w:cs="Arial"/>
        </w:rPr>
      </w:pPr>
      <w:bookmarkStart w:id="14" w:name="_INSTRUCTION__e0af0266_6307_4d75_8d0f_f9"/>
      <w:bookmarkStart w:id="15" w:name="_PAR__13_b750c294_3b87_4c6e_9058_5d9379e"/>
      <w:bookmarkEnd w:id="11"/>
      <w:bookmarkEnd w:id="13"/>
      <w:r>
        <w:rPr>
          <w:rFonts w:ascii="Arial" w:eastAsia="Arial" w:hAnsi="Arial" w:cs="Arial"/>
        </w:rPr>
        <w:t>Amend the bill by striking out everything after the enacting clause and inserting the following:</w:t>
      </w:r>
    </w:p>
    <w:p w:rsidR="009A67BF" w:rsidP="009A67BF">
      <w:pPr>
        <w:ind w:left="360" w:firstLine="360"/>
        <w:rPr>
          <w:rFonts w:ascii="Arial" w:eastAsia="Arial" w:hAnsi="Arial" w:cs="Arial"/>
        </w:rPr>
      </w:pPr>
      <w:bookmarkStart w:id="16" w:name="_PAR__14_2721e694_8317_4172_b74f_3d0ba57"/>
      <w:bookmarkEnd w:id="15"/>
      <w:r>
        <w:rPr>
          <w:rFonts w:ascii="Arial" w:eastAsia="Arial" w:hAnsi="Arial" w:cs="Arial"/>
        </w:rPr>
        <w:t>'</w:t>
      </w:r>
      <w:r>
        <w:rPr>
          <w:rFonts w:ascii="Arial" w:eastAsia="Arial" w:hAnsi="Arial" w:cs="Arial"/>
          <w:b/>
          <w:sz w:val="24"/>
        </w:rPr>
        <w:t>Sec. 1.  30-A MRSA §5225, sub-§1, ¶C,</w:t>
      </w:r>
      <w:r>
        <w:rPr>
          <w:rFonts w:ascii="Arial" w:eastAsia="Arial" w:hAnsi="Arial" w:cs="Arial"/>
        </w:rPr>
        <w:t xml:space="preserve"> as repealed and replaced by PL 2021, c. 676, Pt. A, §46, is amended by amending subparagraph (10) to read:</w:t>
      </w:r>
    </w:p>
    <w:p w:rsidR="009A67BF" w:rsidP="009A67BF">
      <w:pPr>
        <w:ind w:left="1080"/>
        <w:rPr>
          <w:rFonts w:ascii="Arial" w:eastAsia="Arial" w:hAnsi="Arial" w:cs="Arial"/>
        </w:rPr>
      </w:pPr>
      <w:bookmarkStart w:id="17" w:name="_PAR__15_79b13d96_099f_4572_888e_ab75017"/>
      <w:bookmarkEnd w:id="16"/>
      <w:r>
        <w:rPr>
          <w:rFonts w:ascii="Arial" w:eastAsia="Arial" w:hAnsi="Arial" w:cs="Arial"/>
        </w:rPr>
        <w:t xml:space="preserve">(10)  Costs associated with broadband and fiber optics expansion projects, including preparation, planning, engineering and other related costs in addition to the construction costs of those projects.  If an area within a municipality or plantation is unserved with respect to broadband service, as defined by the ConnectMaine Authority as provided in Title 35‑A, section 9204‑A, subsection 1, broadband and fiber optics expansion projects may serve residential or other nonbusiness or noncommercial areas in addition to business or commercial areas within the municipality or plantation; </w:t>
      </w:r>
      <w:r>
        <w:rPr>
          <w:rFonts w:ascii="Arial" w:eastAsia="Arial" w:hAnsi="Arial" w:cs="Arial"/>
          <w:strike/>
        </w:rPr>
        <w:t>and</w:t>
      </w:r>
    </w:p>
    <w:p w:rsidR="009A67BF" w:rsidP="009A67BF">
      <w:pPr>
        <w:ind w:left="360" w:firstLine="360"/>
        <w:rPr>
          <w:rFonts w:ascii="Arial" w:eastAsia="Arial" w:hAnsi="Arial" w:cs="Arial"/>
        </w:rPr>
      </w:pPr>
      <w:bookmarkStart w:id="18" w:name="_PAR__16_d826dd48_14d7_460b_a011_6573cdb"/>
      <w:bookmarkEnd w:id="17"/>
      <w:r>
        <w:rPr>
          <w:rFonts w:ascii="Arial" w:eastAsia="Arial" w:hAnsi="Arial" w:cs="Arial"/>
          <w:b/>
          <w:sz w:val="24"/>
        </w:rPr>
        <w:t>Sec. 2.  30-A MRSA §5225, sub-§1, ¶C,</w:t>
      </w:r>
      <w:r>
        <w:rPr>
          <w:rFonts w:ascii="Arial" w:eastAsia="Arial" w:hAnsi="Arial" w:cs="Arial"/>
        </w:rPr>
        <w:t xml:space="preserve"> as repealed and replaced by PL 2021, c. 676, Pt. A, §46, is amended by amending subparagraph (11) to read:</w:t>
      </w:r>
    </w:p>
    <w:p w:rsidR="009A67BF" w:rsidP="009A67BF">
      <w:pPr>
        <w:ind w:left="1080"/>
        <w:rPr>
          <w:rFonts w:ascii="Arial" w:eastAsia="Arial" w:hAnsi="Arial" w:cs="Arial"/>
        </w:rPr>
      </w:pPr>
      <w:bookmarkStart w:id="19" w:name="_PAR__17_071ce71e_685b_4729_85e8_1ceebf6"/>
      <w:bookmarkEnd w:id="18"/>
      <w:r>
        <w:rPr>
          <w:rFonts w:ascii="Arial" w:eastAsia="Arial" w:hAnsi="Arial" w:cs="Arial"/>
        </w:rPr>
        <w:t>(11)  Costs associated with the operation and financial support of:</w:t>
      </w:r>
    </w:p>
    <w:p w:rsidR="009A67BF" w:rsidP="009A67BF">
      <w:pPr>
        <w:ind w:left="1440"/>
        <w:rPr>
          <w:rFonts w:ascii="Arial" w:eastAsia="Arial" w:hAnsi="Arial" w:cs="Arial"/>
        </w:rPr>
      </w:pPr>
      <w:bookmarkStart w:id="20" w:name="_PAR__18_75c7f472_fc1b_4030_be9c_389eea7"/>
      <w:bookmarkEnd w:id="19"/>
      <w:r>
        <w:rPr>
          <w:rFonts w:ascii="Arial" w:eastAsia="Arial" w:hAnsi="Arial" w:cs="Arial"/>
        </w:rPr>
        <w:t>(a)  Affordable housing in the municipality or plantation to serve ongoing economic development efforts, including the further development of the downtown tax increment financing districts; and</w:t>
      </w:r>
    </w:p>
    <w:p w:rsidR="009A67BF" w:rsidP="009A67BF">
      <w:pPr>
        <w:ind w:left="1440"/>
        <w:rPr>
          <w:rFonts w:ascii="Arial" w:eastAsia="Arial" w:hAnsi="Arial" w:cs="Arial"/>
        </w:rPr>
      </w:pPr>
      <w:bookmarkStart w:id="21" w:name="_PAR__19_a88ab41f_2d87_4d42_80c4_6542524"/>
      <w:bookmarkEnd w:id="20"/>
      <w:r>
        <w:rPr>
          <w:rFonts w:ascii="Arial" w:eastAsia="Arial" w:hAnsi="Arial" w:cs="Arial"/>
        </w:rPr>
        <w:t xml:space="preserve">(b)  Housing programs and services to assist those who are experiencing homelessness in the municipality or plantation as defined in the municipality's or plantation's development program; </w:t>
      </w:r>
      <w:r>
        <w:rPr>
          <w:rFonts w:ascii="Arial" w:eastAsia="Arial" w:hAnsi="Arial" w:cs="Arial"/>
          <w:u w:val="single"/>
        </w:rPr>
        <w:t>and</w:t>
      </w:r>
    </w:p>
    <w:p w:rsidR="009A67BF" w:rsidP="009A67BF">
      <w:pPr>
        <w:ind w:left="360" w:firstLine="360"/>
        <w:rPr>
          <w:rFonts w:ascii="Arial" w:eastAsia="Arial" w:hAnsi="Arial" w:cs="Arial"/>
        </w:rPr>
      </w:pPr>
      <w:bookmarkStart w:id="22" w:name="_PAGE__2_8406a878_fb6c_4457_840c_d51bd66"/>
      <w:bookmarkStart w:id="23" w:name="_PAR__2_108a3a1e_36d4_4b8e_998e_f92f62c9"/>
      <w:bookmarkEnd w:id="1"/>
      <w:bookmarkEnd w:id="21"/>
      <w:r>
        <w:rPr>
          <w:rFonts w:ascii="Arial" w:eastAsia="Arial" w:hAnsi="Arial" w:cs="Arial"/>
          <w:b/>
          <w:sz w:val="24"/>
        </w:rPr>
        <w:t>Sec. 3.  30-A MRSA §5225, sub-§1, ¶C</w:t>
      </w:r>
      <w:r w:rsidRPr="004C00D2">
        <w:rPr>
          <w:rFonts w:ascii="Arial" w:eastAsia="Arial" w:hAnsi="Arial" w:cs="Arial"/>
          <w:b/>
          <w:sz w:val="24"/>
        </w:rPr>
        <w:t xml:space="preserve">, </w:t>
      </w:r>
      <w:r w:rsidRPr="004C00D2">
        <w:rPr>
          <w:rFonts w:ascii="Arial" w:eastAsia="Arial" w:hAnsi="Arial" w:cs="Arial"/>
          <w:szCs w:val="22"/>
        </w:rPr>
        <w:t xml:space="preserve">as repealed and replaced by PL 2021, c. 676, Pt. A, §46, </w:t>
      </w:r>
      <w:r>
        <w:rPr>
          <w:rFonts w:ascii="Arial" w:eastAsia="Arial" w:hAnsi="Arial" w:cs="Arial"/>
        </w:rPr>
        <w:t>is amended by enacting a new subparagraph (12) to read:</w:t>
      </w:r>
    </w:p>
    <w:p w:rsidR="009A67BF" w:rsidP="009A67BF">
      <w:pPr>
        <w:ind w:left="1080"/>
        <w:rPr>
          <w:rFonts w:ascii="Arial" w:eastAsia="Arial" w:hAnsi="Arial" w:cs="Arial"/>
        </w:rPr>
      </w:pPr>
      <w:bookmarkStart w:id="24" w:name="_PAR__3_5dcb414b_e32f_4d5c_90bf_2bf77994"/>
      <w:bookmarkEnd w:id="23"/>
      <w:r>
        <w:rPr>
          <w:rFonts w:ascii="Arial" w:eastAsia="Arial" w:hAnsi="Arial" w:cs="Arial"/>
          <w:u w:val="single"/>
        </w:rPr>
        <w:t>(12)  Up to 50% of the capital costs related to the construction or renovation of a municipality's or plantation's central administrative office, the need for which is related to general economic development within the municipality or plantation, not to exceed 15% of the captured assessed value of the development district;</w:t>
      </w:r>
    </w:p>
    <w:p w:rsidR="009A67BF" w:rsidP="009A67BF">
      <w:pPr>
        <w:ind w:left="360" w:firstLine="360"/>
        <w:rPr>
          <w:rFonts w:ascii="Arial" w:eastAsia="Arial" w:hAnsi="Arial" w:cs="Arial"/>
        </w:rPr>
      </w:pPr>
      <w:bookmarkStart w:id="25" w:name="_PAR__4_1aae62ad_9bd2_48f3_bab4_c564e944"/>
      <w:bookmarkEnd w:id="24"/>
      <w:r>
        <w:rPr>
          <w:rFonts w:ascii="Arial" w:eastAsia="Arial" w:hAnsi="Arial" w:cs="Arial"/>
          <w:b/>
          <w:sz w:val="24"/>
        </w:rPr>
        <w:t>Sec. 4.  30-A MRSA §5225, sub-§2,</w:t>
      </w:r>
      <w:r>
        <w:rPr>
          <w:rFonts w:ascii="Arial" w:eastAsia="Arial" w:hAnsi="Arial" w:cs="Arial"/>
        </w:rPr>
        <w:t xml:space="preserve"> as amended by PL 2019, c. 148, §4, is further amended to read:</w:t>
      </w:r>
    </w:p>
    <w:p w:rsidR="009A67BF" w:rsidP="009A67BF">
      <w:pPr>
        <w:ind w:left="360" w:firstLine="360"/>
        <w:rPr>
          <w:rFonts w:ascii="Arial" w:eastAsia="Arial" w:hAnsi="Arial" w:cs="Arial"/>
        </w:rPr>
      </w:pPr>
      <w:bookmarkStart w:id="26" w:name="_PAR__5_409182dd_975b_4bd7_a49c_035400da"/>
      <w:bookmarkEnd w:id="25"/>
      <w:r>
        <w:rPr>
          <w:rFonts w:ascii="Arial" w:eastAsia="Arial" w:hAnsi="Arial" w:cs="Arial"/>
          <w:b/>
        </w:rPr>
        <w:t xml:space="preserve">2.  Unauthorized project costs. </w:t>
      </w:r>
      <w:r>
        <w:rPr>
          <w:rFonts w:ascii="Arial" w:eastAsia="Arial" w:hAnsi="Arial" w:cs="Arial"/>
        </w:rPr>
        <w:t xml:space="preserve"> Except as provided in subsection 1, paragraph C, </w:t>
      </w:r>
      <w:r>
        <w:rPr>
          <w:rFonts w:ascii="Arial" w:eastAsia="Arial" w:hAnsi="Arial" w:cs="Arial"/>
          <w:strike/>
        </w:rPr>
        <w:t>subparagraph</w:t>
      </w:r>
      <w:r>
        <w:rPr>
          <w:rFonts w:ascii="Arial" w:eastAsia="Arial" w:hAnsi="Arial" w:cs="Arial"/>
        </w:rPr>
        <w:t xml:space="preserve">  </w:t>
      </w:r>
      <w:r>
        <w:rPr>
          <w:rFonts w:ascii="Arial" w:eastAsia="Arial" w:hAnsi="Arial" w:cs="Arial"/>
          <w:u w:val="single"/>
        </w:rPr>
        <w:t>subparagraphs</w:t>
      </w:r>
      <w:r>
        <w:rPr>
          <w:rFonts w:ascii="Arial" w:eastAsia="Arial" w:hAnsi="Arial" w:cs="Arial"/>
        </w:rPr>
        <w:t xml:space="preserve"> (9) </w:t>
      </w:r>
      <w:r>
        <w:rPr>
          <w:rFonts w:ascii="Arial" w:eastAsia="Arial" w:hAnsi="Arial" w:cs="Arial"/>
          <w:u w:val="single"/>
        </w:rPr>
        <w:t>and (12)</w:t>
      </w:r>
      <w:r>
        <w:rPr>
          <w:rFonts w:ascii="Arial" w:eastAsia="Arial" w:hAnsi="Arial" w:cs="Arial"/>
        </w:rPr>
        <w:t xml:space="preserve"> and subsection 1, paragraph D, the commissioner may not approve as a project cost the cost of facilities, buildings or portions of buildings used predominantly for the general conduct of government or for public recreational purposes, including, but not limited to, city halls and other headquarters of government where the governing body meets regularly, courthouses, jails and other state and local government office buildings, recreation centers, athletic fields and swimming pools.'</w:t>
      </w:r>
    </w:p>
    <w:p w:rsidR="009A67BF" w:rsidP="009A67BF">
      <w:pPr>
        <w:ind w:left="360" w:firstLine="360"/>
        <w:rPr>
          <w:rFonts w:ascii="Arial" w:eastAsia="Arial" w:hAnsi="Arial" w:cs="Arial"/>
        </w:rPr>
      </w:pPr>
      <w:bookmarkStart w:id="27" w:name="_INSTRUCTION__38001788_6241_4ef4_83c2_29"/>
      <w:bookmarkStart w:id="28" w:name="_PAR__6_834eb215_e062_4a5b_9df7_448345d9"/>
      <w:bookmarkEnd w:id="14"/>
      <w:bookmarkEnd w:id="26"/>
      <w:r>
        <w:rPr>
          <w:rFonts w:ascii="Arial" w:eastAsia="Arial" w:hAnsi="Arial" w:cs="Arial"/>
        </w:rPr>
        <w:t>Amend the bill by relettering or renumbering any nonconsecutive Part letter or section number to read consecutively.</w:t>
      </w:r>
    </w:p>
    <w:p w:rsidR="009A67BF" w:rsidP="009A67BF">
      <w:pPr>
        <w:keepNext/>
        <w:spacing w:before="240"/>
        <w:ind w:left="360"/>
        <w:jc w:val="center"/>
        <w:rPr>
          <w:rFonts w:ascii="Arial" w:eastAsia="Arial" w:hAnsi="Arial" w:cs="Arial"/>
        </w:rPr>
      </w:pPr>
      <w:bookmarkStart w:id="29" w:name="_SUMMARY__5c8559d8_d687_424d_8034_239407"/>
      <w:bookmarkStart w:id="30" w:name="_PAR__7_19b692a1_a614_49f2_82b6_4564c5c4"/>
      <w:bookmarkEnd w:id="27"/>
      <w:bookmarkEnd w:id="28"/>
      <w:r>
        <w:rPr>
          <w:rFonts w:ascii="Arial" w:eastAsia="Arial" w:hAnsi="Arial" w:cs="Arial"/>
          <w:b/>
          <w:sz w:val="24"/>
        </w:rPr>
        <w:t>SUMMARY</w:t>
      </w:r>
    </w:p>
    <w:p w:rsidR="00000000" w:rsidP="009A67BF">
      <w:pPr>
        <w:ind w:left="360" w:firstLine="360"/>
        <w:rPr>
          <w:rFonts w:ascii="Arial" w:eastAsia="Arial" w:hAnsi="Arial" w:cs="Arial"/>
        </w:rPr>
      </w:pPr>
      <w:bookmarkStart w:id="31" w:name="_PAR__8_8fa69f97_1bf4_4067_86d9_bac380b7"/>
      <w:bookmarkEnd w:id="30"/>
      <w:r w:rsidRPr="00FD4189">
        <w:rPr>
          <w:rFonts w:ascii="Arial" w:eastAsia="Arial" w:hAnsi="Arial" w:cs="Arial"/>
        </w:rPr>
        <w:t>This amendment refines the authorized use of tax increment financing funds proposed by the bill for construction or renovation of local government municipal offices or buildings by providing that the funds may be spent for 50% of the capital costs for construction or renovation of a central administrative office, the need for which is related to general economic development within the municipality or plantation, and provides that tax increment financing funds used for the project may not exceed 15% of the captured assessed value of the development district.</w:t>
      </w:r>
      <w:bookmarkEnd w:id="22"/>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the Use of Tax Increment Financing Funds for Constructing or Renovating Local Central Administrative Offices</w:t>
    </w:r>
  </w:p>
  <w:p>
    <w:pPr>
      <w:suppressLineNumbers/>
      <w:spacing w:before="0" w:after="0"/>
      <w:jc w:val="center"/>
      <w:rPr>
        <w:rFonts w:ascii="Arial" w:eastAsia="Arial" w:hAnsi="Arial" w:cs="Arial"/>
      </w:rPr>
    </w:pPr>
    <w:r>
      <w:rPr>
        <w:rFonts w:ascii="Arial" w:eastAsia="Arial" w:hAnsi="Arial" w:cs="Arial"/>
        <w:sz w:val="22"/>
      </w:rPr>
      <w:t>L.D. 286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00D2"/>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67BF"/>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418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