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72-hour Waiting Period on Firearm Purchases</w:t>
      </w:r>
    </w:p>
    <w:p w:rsidR="00B5750F" w:rsidP="00B5750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2240a2b_0b9d_440f_b613_5f"/>
      <w:bookmarkStart w:id="1" w:name="_PAGE__1_7d02aafe_9d28_4627_87a5_0155976"/>
      <w:bookmarkStart w:id="2" w:name="_PAR__2_ff190d3d_740e_47b4_8793_5de62031"/>
      <w:r>
        <w:rPr>
          <w:rFonts w:ascii="Arial" w:eastAsia="Arial" w:hAnsi="Arial" w:cs="Arial"/>
          <w:caps/>
        </w:rPr>
        <w:t>L.D. 208</w:t>
      </w:r>
    </w:p>
    <w:p w:rsidR="00B5750F" w:rsidP="00B5750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bd66ca1_77d0_46c5_8ad1_622d7e8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5750F" w:rsidP="00B5750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d300f4e_419d_4b7c_a2a6_50d0c9e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B5750F" w:rsidP="00B5750F">
      <w:pPr>
        <w:spacing w:before="60" w:after="60"/>
        <w:ind w:left="720"/>
        <w:rPr>
          <w:rFonts w:ascii="Arial" w:eastAsia="Arial" w:hAnsi="Arial" w:cs="Arial"/>
        </w:rPr>
      </w:pPr>
      <w:bookmarkStart w:id="5" w:name="_PAR__5_55bef936_61b1_4b68_ba89_a46d8574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5750F" w:rsidP="00B5750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03b2f34_f873_4902_96a4_c403735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5750F" w:rsidP="00B5750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66bbe10_3fe6_4956_9281_9b7a3f1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5750F" w:rsidP="00B5750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2fde9be_b211_40e6_adb7_15142d0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5750F" w:rsidP="00B5750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b813896_a00b_4b94_a3fb_1c1274b8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5750F" w:rsidP="00B5750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04307d3_c4cb_4adc_8da9_bdedc64"/>
      <w:bookmarkEnd w:id="9"/>
      <w:r>
        <w:rPr>
          <w:rFonts w:ascii="Arial" w:eastAsia="Arial" w:hAnsi="Arial" w:cs="Arial"/>
          <w:szCs w:val="22"/>
        </w:rPr>
        <w:t>COMMITTEE AMENDMENT “      ” to H.P. 128, L.D. 208, “An Act to Eliminate the 72-hour Waiting Period on Firearm Purchases”</w:t>
      </w:r>
    </w:p>
    <w:p w:rsidR="00B5750F" w:rsidP="00B5750F">
      <w:pPr>
        <w:ind w:left="360" w:firstLine="360"/>
        <w:rPr>
          <w:rFonts w:ascii="Arial" w:eastAsia="Arial" w:hAnsi="Arial" w:cs="Arial"/>
        </w:rPr>
      </w:pPr>
      <w:bookmarkStart w:id="11" w:name="_INSTRUCTION__1faf1e15_1581_40ac_b061_17"/>
      <w:bookmarkStart w:id="12" w:name="_PAR__11_259e6f03_2bab_4ffe_b41e_5ea5bb2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B5750F" w:rsidP="00B5750F">
      <w:pPr>
        <w:ind w:left="360"/>
        <w:rPr>
          <w:rFonts w:ascii="Arial" w:eastAsia="Arial" w:hAnsi="Arial" w:cs="Arial"/>
        </w:rPr>
      </w:pPr>
      <w:bookmarkStart w:id="13" w:name="_PAR__12_75266f0c_5cd6_40d1_8d90_0b39f41"/>
      <w:bookmarkEnd w:id="12"/>
      <w:r>
        <w:rPr>
          <w:rFonts w:ascii="Arial" w:eastAsia="Arial" w:hAnsi="Arial" w:cs="Arial"/>
          <w:b/>
        </w:rPr>
        <w:t>'Resolve, Directing the Attorney General to Report on the Status of Beckwith v. Frey'</w:t>
      </w:r>
    </w:p>
    <w:p w:rsidR="00B5750F" w:rsidP="00B5750F">
      <w:pPr>
        <w:ind w:left="360" w:firstLine="360"/>
        <w:rPr>
          <w:rFonts w:ascii="Arial" w:eastAsia="Arial" w:hAnsi="Arial" w:cs="Arial"/>
        </w:rPr>
      </w:pPr>
      <w:bookmarkStart w:id="14" w:name="_INSTRUCTION__53c5c65b_142c_4862_a17f_52"/>
      <w:bookmarkStart w:id="15" w:name="_PAR__13_1052a52e_0687_437f_b2ff_d994e73"/>
      <w:bookmarkEnd w:id="11"/>
      <w:bookmarkEnd w:id="13"/>
      <w:r>
        <w:rPr>
          <w:rFonts w:ascii="Arial" w:eastAsia="Arial" w:hAnsi="Arial" w:cs="Arial"/>
        </w:rPr>
        <w:t>Amend the bill by striking out everything after the title and inserting the following:</w:t>
      </w:r>
    </w:p>
    <w:p w:rsidR="00B5750F" w:rsidP="00B5750F">
      <w:pPr>
        <w:ind w:left="360" w:firstLine="360"/>
        <w:rPr>
          <w:rFonts w:ascii="Arial" w:eastAsia="Arial" w:hAnsi="Arial" w:cs="Arial"/>
        </w:rPr>
      </w:pPr>
      <w:bookmarkStart w:id="16" w:name="_PAR__14_663d6bd2_05c3_468f_8d01_25811c9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</w:t>
      </w:r>
      <w:r w:rsidRPr="00CD49E4">
        <w:rPr>
          <w:rFonts w:ascii="Arial" w:eastAsia="Arial" w:hAnsi="Arial" w:cs="Arial"/>
          <w:b/>
          <w:sz w:val="24"/>
          <w:szCs w:val="24"/>
        </w:rPr>
        <w:t xml:space="preserve">Attorney General to report on status of Beckwith v. Frey. Resolved: </w:t>
      </w:r>
      <w:r w:rsidRPr="00905241">
        <w:rPr>
          <w:rFonts w:ascii="Arial" w:eastAsia="Arial" w:hAnsi="Arial" w:cs="Arial"/>
        </w:rPr>
        <w:t xml:space="preserve">That the Attorney General shall monitor the status of the case </w:t>
      </w:r>
      <w:r w:rsidRPr="00CD49E4">
        <w:rPr>
          <w:rFonts w:ascii="Arial" w:eastAsia="Arial" w:hAnsi="Arial" w:cs="Arial"/>
          <w:i/>
        </w:rPr>
        <w:t>Beckwith v. Frey</w:t>
      </w:r>
      <w:r w:rsidRPr="00905241">
        <w:rPr>
          <w:rFonts w:ascii="Arial" w:eastAsia="Arial" w:hAnsi="Arial" w:cs="Arial"/>
        </w:rPr>
        <w:t xml:space="preserve"> 25-1160 (1st Cir.) and provide an update on the status of the case to the joint standing committee of the Legislature having jurisdiction over judiciary matters by January 15, 2027.</w:t>
      </w:r>
      <w:r>
        <w:rPr>
          <w:rFonts w:ascii="Arial" w:eastAsia="Arial" w:hAnsi="Arial" w:cs="Arial"/>
        </w:rPr>
        <w:t>'</w:t>
      </w:r>
    </w:p>
    <w:p w:rsidR="00B5750F" w:rsidP="00B5750F">
      <w:pPr>
        <w:ind w:left="360" w:firstLine="360"/>
        <w:rPr>
          <w:rFonts w:ascii="Arial" w:eastAsia="Arial" w:hAnsi="Arial" w:cs="Arial"/>
        </w:rPr>
      </w:pPr>
      <w:bookmarkStart w:id="17" w:name="_INSTRUCTION__83fce185_ef98_49c7_9c64_96"/>
      <w:bookmarkStart w:id="18" w:name="_PAR__15_e7a72e38_7565_449e_96b9_d7bd55e"/>
      <w:bookmarkEnd w:id="14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5750F" w:rsidP="00B5750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8aa43de6_dbc2_426f_82a4_8c85ec"/>
      <w:bookmarkStart w:id="20" w:name="_PAR__16_729d646c_3dff_4c73_ba51_2221fb9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B5750F" w:rsidP="00B5750F">
      <w:pPr>
        <w:keepNext/>
        <w:ind w:left="360" w:firstLine="360"/>
        <w:rPr>
          <w:rFonts w:ascii="Arial" w:eastAsia="Arial" w:hAnsi="Arial" w:cs="Arial"/>
        </w:rPr>
      </w:pPr>
      <w:bookmarkStart w:id="21" w:name="_PAR__17_ea6f0d91_3c59_44d4_a421_1073d54"/>
      <w:bookmarkEnd w:id="20"/>
      <w:r w:rsidRPr="00905241">
        <w:rPr>
          <w:rFonts w:ascii="Arial" w:eastAsia="Arial" w:hAnsi="Arial" w:cs="Arial"/>
        </w:rPr>
        <w:t xml:space="preserve">This amendment replaces the bill with a resolve that requires the Attorney General to monitor the status of the case </w:t>
      </w:r>
      <w:r w:rsidRPr="00CD49E4">
        <w:rPr>
          <w:rFonts w:ascii="Arial" w:eastAsia="Arial" w:hAnsi="Arial" w:cs="Arial"/>
          <w:i/>
        </w:rPr>
        <w:t>Beckwith v. Frey</w:t>
      </w:r>
      <w:r w:rsidRPr="00905241">
        <w:rPr>
          <w:rFonts w:ascii="Arial" w:eastAsia="Arial" w:hAnsi="Arial" w:cs="Arial"/>
        </w:rPr>
        <w:t xml:space="preserve"> 25-1160 (1st Cir.) and provide an update to the joint standing committee of the </w:t>
      </w:r>
      <w:r>
        <w:rPr>
          <w:rFonts w:ascii="Arial" w:eastAsia="Arial" w:hAnsi="Arial" w:cs="Arial"/>
        </w:rPr>
        <w:t>L</w:t>
      </w:r>
      <w:r w:rsidRPr="00905241">
        <w:rPr>
          <w:rFonts w:ascii="Arial" w:eastAsia="Arial" w:hAnsi="Arial" w:cs="Arial"/>
        </w:rPr>
        <w:t>egislature having jurisdiction over judiciary matters by January 15, 2027.</w:t>
      </w:r>
    </w:p>
    <w:p w:rsidR="00B5750F" w:rsidP="00B5750F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0ef1793d_737b_439"/>
      <w:bookmarkStart w:id="23" w:name="_PAR__18_55bf7f9d_0167_439f_b5e9_0852c11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B5750F" w:rsidP="00B5750F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9_8a37846a_f2a2_471c_84e2_72cb9e2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LR0038,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Attorney General to Report on the Status of Beckwith v. Frey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5241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750F"/>
    <w:rsid w:val="00B97FEC"/>
    <w:rsid w:val="00BC0528"/>
    <w:rsid w:val="00BC3B30"/>
    <w:rsid w:val="00BE5DC0"/>
    <w:rsid w:val="00C6107B"/>
    <w:rsid w:val="00C61EAA"/>
    <w:rsid w:val="00CA163F"/>
    <w:rsid w:val="00CD49E4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