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Funding for Guardians Ad Litem</w:t>
      </w:r>
    </w:p>
    <w:p w:rsidR="00A273DF" w:rsidP="00A273DF">
      <w:pPr>
        <w:spacing w:after="240"/>
        <w:ind w:left="360"/>
        <w:jc w:val="right"/>
        <w:rPr>
          <w:rFonts w:ascii="Arial" w:eastAsia="Arial" w:hAnsi="Arial" w:cs="Arial"/>
          <w:caps/>
        </w:rPr>
      </w:pPr>
      <w:bookmarkStart w:id="0" w:name="_AMEND_TITLE__eb696eed_b624_4d5c_b859_95"/>
      <w:bookmarkStart w:id="1" w:name="_PAGE__1_0145c19e_5db7_4293_a0e5_34a8127"/>
      <w:bookmarkStart w:id="2" w:name="_PAR__2_20f0afe9_467e_4b05_80ec_7d4bd4d4"/>
      <w:r>
        <w:rPr>
          <w:rFonts w:ascii="Arial" w:eastAsia="Arial" w:hAnsi="Arial" w:cs="Arial"/>
          <w:caps/>
        </w:rPr>
        <w:t>L.D. 113</w:t>
      </w:r>
    </w:p>
    <w:p w:rsidR="00A273DF" w:rsidP="00A273DF">
      <w:pPr>
        <w:tabs>
          <w:tab w:val="right" w:pos="8928"/>
        </w:tabs>
        <w:spacing w:after="360"/>
        <w:ind w:left="360"/>
        <w:rPr>
          <w:rFonts w:ascii="Arial" w:eastAsia="Arial" w:hAnsi="Arial" w:cs="Arial"/>
        </w:rPr>
      </w:pPr>
      <w:bookmarkStart w:id="3" w:name="_PAR__3_6689aac9_4fc8_4c12_b9eb_bb989e49"/>
      <w:bookmarkEnd w:id="2"/>
      <w:r>
        <w:rPr>
          <w:rFonts w:ascii="Arial" w:eastAsia="Arial" w:hAnsi="Arial" w:cs="Arial"/>
        </w:rPr>
        <w:t>Date:</w:t>
      </w:r>
      <w:r>
        <w:rPr>
          <w:rFonts w:ascii="Arial" w:eastAsia="Arial" w:hAnsi="Arial" w:cs="Arial"/>
        </w:rPr>
        <w:tab/>
        <w:t>(Filing No. H-         )</w:t>
      </w:r>
    </w:p>
    <w:p w:rsidR="00A273DF" w:rsidP="00A273DF">
      <w:pPr>
        <w:spacing w:before="600" w:after="300"/>
        <w:ind w:left="360"/>
        <w:jc w:val="center"/>
        <w:outlineLvl w:val="0"/>
        <w:rPr>
          <w:rFonts w:ascii="Arial" w:eastAsia="Arial" w:hAnsi="Arial" w:cs="Arial"/>
        </w:rPr>
      </w:pPr>
      <w:bookmarkStart w:id="4" w:name="_PAR__4_550af62e_3277_4284_bdd2_dcc9c6dd"/>
      <w:bookmarkEnd w:id="3"/>
      <w:r>
        <w:rPr>
          <w:rFonts w:ascii="Arial" w:eastAsia="Arial" w:hAnsi="Arial" w:cs="Arial"/>
          <w:b/>
          <w:caps/>
          <w:sz w:val="24"/>
          <w:szCs w:val="32"/>
        </w:rPr>
        <w:t xml:space="preserve">Judiciary </w:t>
      </w:r>
    </w:p>
    <w:p w:rsidR="00A273DF" w:rsidP="00A273DF">
      <w:pPr>
        <w:spacing w:before="60" w:after="60"/>
        <w:ind w:left="720"/>
        <w:rPr>
          <w:rFonts w:ascii="Arial" w:eastAsia="Arial" w:hAnsi="Arial" w:cs="Arial"/>
        </w:rPr>
      </w:pPr>
      <w:bookmarkStart w:id="5" w:name="_PAR__5_da81af8a_3093_4b8d_a6cf_24cbe779"/>
      <w:bookmarkEnd w:id="4"/>
      <w:r>
        <w:rPr>
          <w:rFonts w:ascii="Arial" w:eastAsia="Arial" w:hAnsi="Arial" w:cs="Arial"/>
        </w:rPr>
        <w:t>Reproduced and distributed under the direction of the Clerk of the House.</w:t>
      </w:r>
    </w:p>
    <w:p w:rsidR="00A273DF" w:rsidP="00A273DF">
      <w:pPr>
        <w:spacing w:before="160" w:after="0"/>
        <w:ind w:left="360"/>
        <w:jc w:val="center"/>
        <w:outlineLvl w:val="0"/>
        <w:rPr>
          <w:rFonts w:ascii="Arial" w:eastAsia="Arial" w:hAnsi="Arial" w:cs="Arial"/>
          <w:b/>
          <w:caps/>
          <w:sz w:val="24"/>
          <w:szCs w:val="32"/>
        </w:rPr>
      </w:pPr>
      <w:bookmarkStart w:id="6" w:name="_PAR__6_45fa38ef_251f_465a_9669_8b888af4"/>
      <w:bookmarkEnd w:id="5"/>
      <w:r>
        <w:rPr>
          <w:rFonts w:ascii="Arial" w:eastAsia="Arial" w:hAnsi="Arial" w:cs="Arial"/>
          <w:b/>
          <w:caps/>
          <w:sz w:val="24"/>
          <w:szCs w:val="32"/>
        </w:rPr>
        <w:t>STATE OF MAINE</w:t>
      </w:r>
    </w:p>
    <w:p w:rsidR="00A273DF" w:rsidP="00A273DF">
      <w:pPr>
        <w:spacing w:after="0"/>
        <w:ind w:left="360"/>
        <w:jc w:val="center"/>
        <w:outlineLvl w:val="0"/>
        <w:rPr>
          <w:rFonts w:ascii="Arial" w:eastAsia="Arial" w:hAnsi="Arial" w:cs="Arial"/>
          <w:b/>
          <w:caps/>
          <w:sz w:val="24"/>
          <w:szCs w:val="32"/>
        </w:rPr>
      </w:pPr>
      <w:bookmarkStart w:id="7" w:name="_PAR__7_815750bf_5d8e_40f5_b0db_7fd0a37d"/>
      <w:bookmarkEnd w:id="6"/>
      <w:r>
        <w:rPr>
          <w:rFonts w:ascii="Arial" w:eastAsia="Arial" w:hAnsi="Arial" w:cs="Arial"/>
          <w:b/>
          <w:caps/>
          <w:sz w:val="24"/>
          <w:szCs w:val="32"/>
        </w:rPr>
        <w:t>HOUSE OF REPRESENTATIVES</w:t>
      </w:r>
    </w:p>
    <w:p w:rsidR="00A273DF" w:rsidP="00A273DF">
      <w:pPr>
        <w:spacing w:after="0"/>
        <w:ind w:left="360"/>
        <w:jc w:val="center"/>
        <w:outlineLvl w:val="0"/>
        <w:rPr>
          <w:rFonts w:ascii="Arial" w:eastAsia="Arial" w:hAnsi="Arial" w:cs="Arial"/>
          <w:b/>
          <w:caps/>
          <w:sz w:val="24"/>
          <w:szCs w:val="32"/>
        </w:rPr>
      </w:pPr>
      <w:bookmarkStart w:id="8" w:name="_PAR__8_855e4d08_af6f_4eb7_809f_61446226"/>
      <w:bookmarkEnd w:id="7"/>
      <w:r>
        <w:rPr>
          <w:rFonts w:ascii="Arial" w:eastAsia="Arial" w:hAnsi="Arial" w:cs="Arial"/>
          <w:b/>
          <w:caps/>
          <w:sz w:val="24"/>
          <w:szCs w:val="32"/>
        </w:rPr>
        <w:t>131st Legislature</w:t>
      </w:r>
    </w:p>
    <w:p w:rsidR="00A273DF" w:rsidP="00A273DF">
      <w:pPr>
        <w:spacing w:after="0"/>
        <w:ind w:left="360"/>
        <w:jc w:val="center"/>
        <w:outlineLvl w:val="0"/>
        <w:rPr>
          <w:rFonts w:ascii="Arial" w:eastAsia="Arial" w:hAnsi="Arial" w:cs="Arial"/>
          <w:b/>
          <w:caps/>
          <w:sz w:val="24"/>
          <w:szCs w:val="32"/>
        </w:rPr>
      </w:pPr>
      <w:bookmarkStart w:id="9" w:name="_PAR__9_3dc6a178_696c_4be0_9793_4f555360"/>
      <w:bookmarkEnd w:id="8"/>
      <w:r>
        <w:rPr>
          <w:rFonts w:ascii="Arial" w:eastAsia="Arial" w:hAnsi="Arial" w:cs="Arial"/>
          <w:b/>
          <w:caps/>
          <w:sz w:val="24"/>
          <w:szCs w:val="32"/>
        </w:rPr>
        <w:t>First Special Session</w:t>
      </w:r>
    </w:p>
    <w:p w:rsidR="00A273DF" w:rsidP="00A273DF">
      <w:pPr>
        <w:spacing w:before="400" w:after="200"/>
        <w:ind w:left="360" w:firstLine="360"/>
        <w:rPr>
          <w:rFonts w:ascii="Arial" w:eastAsia="Arial" w:hAnsi="Arial" w:cs="Arial"/>
        </w:rPr>
      </w:pPr>
      <w:bookmarkStart w:id="10" w:name="_PAR__10_5bc9af69_093d_4002_96f9_ed6df74"/>
      <w:bookmarkEnd w:id="9"/>
      <w:r>
        <w:rPr>
          <w:rFonts w:ascii="Arial" w:eastAsia="Arial" w:hAnsi="Arial" w:cs="Arial"/>
          <w:szCs w:val="22"/>
        </w:rPr>
        <w:t>COMMITTEE AMENDMENT “      ” to H.P. 81, L.D. 113, “An Act to Provide Funding for Guardians Ad Litem”</w:t>
      </w:r>
    </w:p>
    <w:p w:rsidR="00A273DF" w:rsidP="00A273DF">
      <w:pPr>
        <w:ind w:left="360" w:firstLine="360"/>
        <w:rPr>
          <w:rFonts w:ascii="Arial" w:eastAsia="Arial" w:hAnsi="Arial" w:cs="Arial"/>
        </w:rPr>
      </w:pPr>
      <w:bookmarkStart w:id="11" w:name="_INSTRUCTION__99b2abbd_c525_4ef2_9e0a_60"/>
      <w:bookmarkStart w:id="12" w:name="_PAR__11_664ce73a_afe1_49e2_b8b2_a28c32e"/>
      <w:bookmarkEnd w:id="0"/>
      <w:bookmarkEnd w:id="10"/>
      <w:r>
        <w:rPr>
          <w:rFonts w:ascii="Arial" w:eastAsia="Arial" w:hAnsi="Arial" w:cs="Arial"/>
        </w:rPr>
        <w:t>Amend the bill by striking out the title and substituting the following:</w:t>
      </w:r>
    </w:p>
    <w:p w:rsidR="00A273DF" w:rsidP="00A273DF">
      <w:pPr>
        <w:ind w:left="360"/>
        <w:rPr>
          <w:rFonts w:ascii="Arial" w:eastAsia="Arial" w:hAnsi="Arial" w:cs="Arial"/>
        </w:rPr>
      </w:pPr>
      <w:bookmarkStart w:id="13" w:name="_PAR__12_ddff3f41_4bd7_4e5a_83b9_f7c5079"/>
      <w:bookmarkEnd w:id="12"/>
      <w:r>
        <w:rPr>
          <w:rFonts w:ascii="Arial" w:eastAsia="Arial" w:hAnsi="Arial" w:cs="Arial"/>
          <w:b/>
        </w:rPr>
        <w:t>'An Act to Provide Funding for Children's Guardians Ad Litem'</w:t>
      </w:r>
    </w:p>
    <w:p w:rsidR="00A273DF" w:rsidP="00A273DF">
      <w:pPr>
        <w:ind w:left="360" w:firstLine="360"/>
        <w:rPr>
          <w:rFonts w:ascii="Arial" w:eastAsia="Arial" w:hAnsi="Arial" w:cs="Arial"/>
        </w:rPr>
      </w:pPr>
      <w:bookmarkStart w:id="14" w:name="_INSTRUCTION__9ab2c642_5396_4b97_bce9_aa"/>
      <w:bookmarkStart w:id="15" w:name="_PAR__13_d1e2b8ba_cbdb_4040_a476_004b304"/>
      <w:bookmarkEnd w:id="11"/>
      <w:bookmarkEnd w:id="13"/>
      <w:r>
        <w:rPr>
          <w:rFonts w:ascii="Arial" w:eastAsia="Arial" w:hAnsi="Arial" w:cs="Arial"/>
        </w:rPr>
        <w:t>Amend the bill by inserting before section 1 the following:</w:t>
      </w:r>
    </w:p>
    <w:p w:rsidR="00A273DF" w:rsidP="00A273DF">
      <w:pPr>
        <w:ind w:left="360" w:firstLine="360"/>
        <w:rPr>
          <w:rFonts w:ascii="Arial" w:eastAsia="Arial" w:hAnsi="Arial" w:cs="Arial"/>
        </w:rPr>
      </w:pPr>
      <w:bookmarkStart w:id="16" w:name="_PAR__14_cda3d271_75a3_40bd_b014_980681a"/>
      <w:bookmarkEnd w:id="15"/>
      <w:r>
        <w:rPr>
          <w:rFonts w:ascii="Arial" w:eastAsia="Arial" w:hAnsi="Arial" w:cs="Arial"/>
        </w:rPr>
        <w:t>'</w:t>
      </w:r>
      <w:r>
        <w:rPr>
          <w:rFonts w:ascii="Arial" w:eastAsia="Arial" w:hAnsi="Arial" w:cs="Arial"/>
          <w:b/>
          <w:sz w:val="24"/>
        </w:rPr>
        <w:t xml:space="preserve">Sec. 1.  </w:t>
      </w:r>
      <w:r w:rsidRPr="000C04C7">
        <w:rPr>
          <w:rFonts w:ascii="Arial" w:eastAsia="Arial" w:hAnsi="Arial" w:cs="Arial"/>
          <w:b/>
          <w:sz w:val="24"/>
        </w:rPr>
        <w:t xml:space="preserve">Funding priorities.  </w:t>
      </w:r>
      <w:r w:rsidRPr="000C04C7">
        <w:rPr>
          <w:rFonts w:ascii="Arial" w:eastAsia="Arial" w:hAnsi="Arial" w:cs="Arial"/>
          <w:szCs w:val="22"/>
        </w:rPr>
        <w:t xml:space="preserve">In expending funds appropriated under section </w:t>
      </w:r>
      <w:r>
        <w:rPr>
          <w:rFonts w:ascii="Arial" w:eastAsia="Arial" w:hAnsi="Arial" w:cs="Arial"/>
          <w:szCs w:val="22"/>
        </w:rPr>
        <w:t>3</w:t>
      </w:r>
      <w:r w:rsidRPr="000C04C7">
        <w:rPr>
          <w:rFonts w:ascii="Arial" w:eastAsia="Arial" w:hAnsi="Arial" w:cs="Arial"/>
          <w:szCs w:val="22"/>
        </w:rPr>
        <w:t xml:space="preserve">, the </w:t>
      </w:r>
      <w:r>
        <w:rPr>
          <w:rFonts w:ascii="Arial" w:eastAsia="Arial" w:hAnsi="Arial" w:cs="Arial"/>
          <w:szCs w:val="22"/>
        </w:rPr>
        <w:t>j</w:t>
      </w:r>
      <w:r w:rsidRPr="000C04C7">
        <w:rPr>
          <w:rFonts w:ascii="Arial" w:eastAsia="Arial" w:hAnsi="Arial" w:cs="Arial"/>
          <w:szCs w:val="22"/>
        </w:rPr>
        <w:t xml:space="preserve">udicial </w:t>
      </w:r>
      <w:r>
        <w:rPr>
          <w:rFonts w:ascii="Arial" w:eastAsia="Arial" w:hAnsi="Arial" w:cs="Arial"/>
          <w:szCs w:val="22"/>
        </w:rPr>
        <w:t>b</w:t>
      </w:r>
      <w:r w:rsidRPr="000C04C7">
        <w:rPr>
          <w:rFonts w:ascii="Arial" w:eastAsia="Arial" w:hAnsi="Arial" w:cs="Arial"/>
          <w:szCs w:val="22"/>
        </w:rPr>
        <w:t xml:space="preserve">ranch shall prioritize payment of children’s guardian ad litem fees in family matters cases in which at least one party is unrepresented by counsel and in which the financial resources of the parties are within indigency guidelines established by the </w:t>
      </w:r>
      <w:r>
        <w:rPr>
          <w:rFonts w:ascii="Arial" w:eastAsia="Arial" w:hAnsi="Arial" w:cs="Arial"/>
          <w:szCs w:val="22"/>
        </w:rPr>
        <w:t>j</w:t>
      </w:r>
      <w:r w:rsidRPr="000C04C7">
        <w:rPr>
          <w:rFonts w:ascii="Arial" w:eastAsia="Arial" w:hAnsi="Arial" w:cs="Arial"/>
          <w:szCs w:val="22"/>
        </w:rPr>
        <w:t xml:space="preserve">udicial </w:t>
      </w:r>
      <w:r>
        <w:rPr>
          <w:rFonts w:ascii="Arial" w:eastAsia="Arial" w:hAnsi="Arial" w:cs="Arial"/>
          <w:szCs w:val="22"/>
        </w:rPr>
        <w:t>b</w:t>
      </w:r>
      <w:r w:rsidRPr="000C04C7">
        <w:rPr>
          <w:rFonts w:ascii="Arial" w:eastAsia="Arial" w:hAnsi="Arial" w:cs="Arial"/>
          <w:szCs w:val="22"/>
        </w:rPr>
        <w:t>ranch.</w:t>
      </w:r>
    </w:p>
    <w:p w:rsidR="00A273DF" w:rsidP="00A273DF">
      <w:pPr>
        <w:ind w:left="360" w:firstLine="360"/>
        <w:rPr>
          <w:rFonts w:ascii="Arial" w:eastAsia="Arial" w:hAnsi="Arial" w:cs="Arial"/>
        </w:rPr>
      </w:pPr>
      <w:bookmarkStart w:id="17" w:name="_PAR__15_cf706769_aba7_451b_8d19_d90d4d8"/>
      <w:bookmarkEnd w:id="16"/>
      <w:r>
        <w:rPr>
          <w:rFonts w:ascii="Arial" w:eastAsia="Arial" w:hAnsi="Arial" w:cs="Arial"/>
          <w:b/>
          <w:sz w:val="24"/>
        </w:rPr>
        <w:t xml:space="preserve">Sec. 2.  </w:t>
      </w:r>
      <w:r w:rsidRPr="000C04C7">
        <w:rPr>
          <w:rFonts w:ascii="Arial" w:eastAsia="Arial" w:hAnsi="Arial" w:cs="Arial"/>
          <w:b/>
          <w:sz w:val="24"/>
        </w:rPr>
        <w:t xml:space="preserve">Report.  </w:t>
      </w:r>
      <w:r w:rsidRPr="000C04C7">
        <w:rPr>
          <w:rFonts w:ascii="Arial" w:eastAsia="Arial" w:hAnsi="Arial" w:cs="Arial"/>
          <w:szCs w:val="22"/>
        </w:rPr>
        <w:t xml:space="preserve">The </w:t>
      </w:r>
      <w:r>
        <w:rPr>
          <w:rFonts w:ascii="Arial" w:eastAsia="Arial" w:hAnsi="Arial" w:cs="Arial"/>
          <w:szCs w:val="22"/>
        </w:rPr>
        <w:t>j</w:t>
      </w:r>
      <w:r w:rsidRPr="000C04C7">
        <w:rPr>
          <w:rFonts w:ascii="Arial" w:eastAsia="Arial" w:hAnsi="Arial" w:cs="Arial"/>
          <w:szCs w:val="22"/>
        </w:rPr>
        <w:t xml:space="preserve">udicial </w:t>
      </w:r>
      <w:r>
        <w:rPr>
          <w:rFonts w:ascii="Arial" w:eastAsia="Arial" w:hAnsi="Arial" w:cs="Arial"/>
          <w:szCs w:val="22"/>
        </w:rPr>
        <w:t>b</w:t>
      </w:r>
      <w:r w:rsidRPr="000C04C7">
        <w:rPr>
          <w:rFonts w:ascii="Arial" w:eastAsia="Arial" w:hAnsi="Arial" w:cs="Arial"/>
          <w:szCs w:val="22"/>
        </w:rPr>
        <w:t xml:space="preserve">ranch shall submit a report to the joint standing committee of the Legislature having jurisdiction over judiciary matters by January 1, 2025 regarding the use of the funds appropriated under section </w:t>
      </w:r>
      <w:r>
        <w:rPr>
          <w:rFonts w:ascii="Arial" w:eastAsia="Arial" w:hAnsi="Arial" w:cs="Arial"/>
          <w:szCs w:val="22"/>
        </w:rPr>
        <w:t>3</w:t>
      </w:r>
      <w:r w:rsidRPr="000C04C7">
        <w:rPr>
          <w:rFonts w:ascii="Arial" w:eastAsia="Arial" w:hAnsi="Arial" w:cs="Arial"/>
          <w:szCs w:val="22"/>
        </w:rPr>
        <w:t xml:space="preserve">.  The report must include, at a minimum, an itemization of the number and types of family matters cases in which funds were used to pay all or a portion of the fees of a children’s guardian ad litem during the first 12 months after the effective date of this Act; an itemization of the total amount of funds spent on recruitment, training and fees for children’s guardians ad litem during the first 12 months after the effective date of this Act; and an estimate of the amount of funding per year that would be required for the </w:t>
      </w:r>
      <w:r>
        <w:rPr>
          <w:rFonts w:ascii="Arial" w:eastAsia="Arial" w:hAnsi="Arial" w:cs="Arial"/>
          <w:szCs w:val="22"/>
        </w:rPr>
        <w:t>j</w:t>
      </w:r>
      <w:r w:rsidRPr="000C04C7">
        <w:rPr>
          <w:rFonts w:ascii="Arial" w:eastAsia="Arial" w:hAnsi="Arial" w:cs="Arial"/>
          <w:szCs w:val="22"/>
        </w:rPr>
        <w:t xml:space="preserve">udicial </w:t>
      </w:r>
      <w:r>
        <w:rPr>
          <w:rFonts w:ascii="Arial" w:eastAsia="Arial" w:hAnsi="Arial" w:cs="Arial"/>
          <w:szCs w:val="22"/>
        </w:rPr>
        <w:t>b</w:t>
      </w:r>
      <w:r w:rsidRPr="000C04C7">
        <w:rPr>
          <w:rFonts w:ascii="Arial" w:eastAsia="Arial" w:hAnsi="Arial" w:cs="Arial"/>
          <w:szCs w:val="22"/>
        </w:rPr>
        <w:t xml:space="preserve">ranch to pay for children’s guardians ad litem in all family matters cases in state courts </w:t>
      </w:r>
      <w:r>
        <w:rPr>
          <w:rFonts w:ascii="Arial" w:eastAsia="Arial" w:hAnsi="Arial" w:cs="Arial"/>
          <w:szCs w:val="22"/>
        </w:rPr>
        <w:t>in which</w:t>
      </w:r>
      <w:r w:rsidRPr="000C04C7">
        <w:rPr>
          <w:rFonts w:ascii="Arial" w:eastAsia="Arial" w:hAnsi="Arial" w:cs="Arial"/>
          <w:szCs w:val="22"/>
        </w:rPr>
        <w:t xml:space="preserve"> the court has a special concern for the welfare of the child, as described in the Maine Revised Statutes, Title 4, </w:t>
      </w:r>
      <w:r>
        <w:rPr>
          <w:rFonts w:ascii="Arial" w:eastAsia="Arial" w:hAnsi="Arial" w:cs="Arial"/>
          <w:szCs w:val="22"/>
        </w:rPr>
        <w:t>s</w:t>
      </w:r>
      <w:r w:rsidRPr="000C04C7">
        <w:rPr>
          <w:rFonts w:ascii="Arial" w:eastAsia="Arial" w:hAnsi="Arial" w:cs="Arial"/>
          <w:szCs w:val="22"/>
        </w:rPr>
        <w:t xml:space="preserve">ection 1555, subsection 1, but </w:t>
      </w:r>
      <w:r>
        <w:rPr>
          <w:rFonts w:ascii="Arial" w:eastAsia="Arial" w:hAnsi="Arial" w:cs="Arial"/>
          <w:szCs w:val="22"/>
        </w:rPr>
        <w:t>in which</w:t>
      </w:r>
      <w:r w:rsidRPr="000C04C7">
        <w:rPr>
          <w:rFonts w:ascii="Arial" w:eastAsia="Arial" w:hAnsi="Arial" w:cs="Arial"/>
          <w:szCs w:val="22"/>
        </w:rPr>
        <w:t xml:space="preserve"> the financial resources of the parties are insufficient to absorb the costs of the guardian ad litem.  The joint standing committee of the Legislature having jurisdiction over judiciary matters may report out legislation related to the report to the 132nd Legislature</w:t>
      </w:r>
      <w:r>
        <w:rPr>
          <w:rFonts w:ascii="Arial" w:eastAsia="Arial" w:hAnsi="Arial" w:cs="Arial"/>
          <w:szCs w:val="22"/>
        </w:rPr>
        <w:t xml:space="preserve"> in 2025</w:t>
      </w:r>
      <w:r w:rsidRPr="000C04C7">
        <w:rPr>
          <w:rFonts w:ascii="Arial" w:eastAsia="Arial" w:hAnsi="Arial" w:cs="Arial"/>
          <w:szCs w:val="22"/>
        </w:rPr>
        <w:t>.</w:t>
      </w:r>
      <w:r>
        <w:rPr>
          <w:rFonts w:ascii="Arial" w:eastAsia="Arial" w:hAnsi="Arial" w:cs="Arial"/>
        </w:rPr>
        <w:t>'</w:t>
      </w:r>
    </w:p>
    <w:p w:rsidR="00A273DF" w:rsidP="00A273DF">
      <w:pPr>
        <w:ind w:left="360" w:firstLine="360"/>
        <w:rPr>
          <w:rFonts w:ascii="Arial" w:eastAsia="Arial" w:hAnsi="Arial" w:cs="Arial"/>
        </w:rPr>
      </w:pPr>
      <w:bookmarkStart w:id="18" w:name="_INSTRUCTION__2e00236a_8077_4bb4_b1da_90"/>
      <w:bookmarkStart w:id="19" w:name="_PAR__16_28bb29b8_5ed1_4fda_8363_feb3742"/>
      <w:bookmarkEnd w:id="14"/>
      <w:bookmarkEnd w:id="17"/>
      <w:r>
        <w:rPr>
          <w:rFonts w:ascii="Arial" w:eastAsia="Arial" w:hAnsi="Arial" w:cs="Arial"/>
        </w:rPr>
        <w:t>Amend the bill in section 1 in the initiative (page 1, line 6 in L.D.) by inserting after the following: "for" the following: 'children's'</w:t>
      </w:r>
    </w:p>
    <w:p w:rsidR="00A273DF" w:rsidP="00A273DF">
      <w:pPr>
        <w:ind w:left="360" w:firstLine="360"/>
        <w:rPr>
          <w:rFonts w:ascii="Arial" w:eastAsia="Arial" w:hAnsi="Arial" w:cs="Arial"/>
        </w:rPr>
      </w:pPr>
      <w:bookmarkStart w:id="20" w:name="_INSTRUCTION__2a7dc012_e9dc_413f_af10_fa"/>
      <w:bookmarkStart w:id="21" w:name="_PAGE__2_9fb72934_5ac8_47d1_8c1d_1080701"/>
      <w:bookmarkStart w:id="22" w:name="_PAR__2_f6368a8e_c138_4775_980f_b9e0cde8"/>
      <w:bookmarkEnd w:id="1"/>
      <w:bookmarkEnd w:id="18"/>
      <w:bookmarkEnd w:id="19"/>
      <w:r>
        <w:rPr>
          <w:rFonts w:ascii="Arial" w:eastAsia="Arial" w:hAnsi="Arial" w:cs="Arial"/>
        </w:rPr>
        <w:t>Amend the bill by relettering or renumbering any nonconsecutive Part letter or section number to read consecutively.</w:t>
      </w:r>
    </w:p>
    <w:p w:rsidR="00A273DF" w:rsidP="00A273DF">
      <w:pPr>
        <w:keepNext/>
        <w:spacing w:before="240"/>
        <w:ind w:left="360"/>
        <w:jc w:val="center"/>
        <w:rPr>
          <w:rFonts w:ascii="Arial" w:eastAsia="Arial" w:hAnsi="Arial" w:cs="Arial"/>
        </w:rPr>
      </w:pPr>
      <w:bookmarkStart w:id="23" w:name="_SUMMARY__4b42c0c3_a81e_4af4_abc5_c1741a"/>
      <w:bookmarkStart w:id="24" w:name="_PAR__3_05717090_5838_488b_9a50_de324a5b"/>
      <w:bookmarkEnd w:id="20"/>
      <w:bookmarkEnd w:id="22"/>
      <w:r>
        <w:rPr>
          <w:rFonts w:ascii="Arial" w:eastAsia="Arial" w:hAnsi="Arial" w:cs="Arial"/>
          <w:b/>
          <w:sz w:val="24"/>
        </w:rPr>
        <w:t>SUMMARY</w:t>
      </w:r>
    </w:p>
    <w:p w:rsidR="00A273DF" w:rsidP="00A273DF">
      <w:pPr>
        <w:keepNext/>
        <w:ind w:left="360" w:firstLine="360"/>
        <w:rPr>
          <w:rFonts w:ascii="Arial" w:eastAsia="Arial" w:hAnsi="Arial" w:cs="Arial"/>
        </w:rPr>
      </w:pPr>
      <w:bookmarkStart w:id="25" w:name="_PAR__4_aac5a175_028d_4167_9ccc_a6b757c0"/>
      <w:bookmarkEnd w:id="24"/>
      <w:r w:rsidRPr="007967BF">
        <w:rPr>
          <w:rFonts w:ascii="Arial" w:eastAsia="Arial" w:hAnsi="Arial" w:cs="Arial"/>
        </w:rPr>
        <w:t xml:space="preserve">This amendment, which is the majority report of the committee, clarifies that the ongoing funding provided to the </w:t>
      </w:r>
      <w:r>
        <w:rPr>
          <w:rFonts w:ascii="Arial" w:eastAsia="Arial" w:hAnsi="Arial" w:cs="Arial"/>
        </w:rPr>
        <w:t>j</w:t>
      </w:r>
      <w:r w:rsidRPr="007967BF">
        <w:rPr>
          <w:rFonts w:ascii="Arial" w:eastAsia="Arial" w:hAnsi="Arial" w:cs="Arial"/>
        </w:rPr>
        <w:t xml:space="preserve">udicial branch under the bill must be expended for children's guardian ad litem services and requires the </w:t>
      </w:r>
      <w:r>
        <w:rPr>
          <w:rFonts w:ascii="Arial" w:eastAsia="Arial" w:hAnsi="Arial" w:cs="Arial"/>
        </w:rPr>
        <w:t>j</w:t>
      </w:r>
      <w:r w:rsidRPr="007967BF">
        <w:rPr>
          <w:rFonts w:ascii="Arial" w:eastAsia="Arial" w:hAnsi="Arial" w:cs="Arial"/>
        </w:rPr>
        <w:t xml:space="preserve">udicial </w:t>
      </w:r>
      <w:r>
        <w:rPr>
          <w:rFonts w:ascii="Arial" w:eastAsia="Arial" w:hAnsi="Arial" w:cs="Arial"/>
        </w:rPr>
        <w:t>b</w:t>
      </w:r>
      <w:r w:rsidRPr="007967BF">
        <w:rPr>
          <w:rFonts w:ascii="Arial" w:eastAsia="Arial" w:hAnsi="Arial" w:cs="Arial"/>
        </w:rPr>
        <w:t xml:space="preserve">ranch to prioritize payment of children's guardian ad litem fees in family matters cases in which at least one party is unrepresented by counsel and the family meets indigency guidelines established by the </w:t>
      </w:r>
      <w:r>
        <w:rPr>
          <w:rFonts w:ascii="Arial" w:eastAsia="Arial" w:hAnsi="Arial" w:cs="Arial"/>
        </w:rPr>
        <w:t>j</w:t>
      </w:r>
      <w:r w:rsidRPr="007967BF">
        <w:rPr>
          <w:rFonts w:ascii="Arial" w:eastAsia="Arial" w:hAnsi="Arial" w:cs="Arial"/>
        </w:rPr>
        <w:t xml:space="preserve">udicial </w:t>
      </w:r>
      <w:r>
        <w:rPr>
          <w:rFonts w:ascii="Arial" w:eastAsia="Arial" w:hAnsi="Arial" w:cs="Arial"/>
        </w:rPr>
        <w:t>b</w:t>
      </w:r>
      <w:r w:rsidRPr="007967BF">
        <w:rPr>
          <w:rFonts w:ascii="Arial" w:eastAsia="Arial" w:hAnsi="Arial" w:cs="Arial"/>
        </w:rPr>
        <w:t xml:space="preserve">ranch.  The amendment also requires the </w:t>
      </w:r>
      <w:r>
        <w:rPr>
          <w:rFonts w:ascii="Arial" w:eastAsia="Arial" w:hAnsi="Arial" w:cs="Arial"/>
        </w:rPr>
        <w:t>j</w:t>
      </w:r>
      <w:r w:rsidRPr="007967BF">
        <w:rPr>
          <w:rFonts w:ascii="Arial" w:eastAsia="Arial" w:hAnsi="Arial" w:cs="Arial"/>
        </w:rPr>
        <w:t xml:space="preserve">udicial </w:t>
      </w:r>
      <w:r>
        <w:rPr>
          <w:rFonts w:ascii="Arial" w:eastAsia="Arial" w:hAnsi="Arial" w:cs="Arial"/>
        </w:rPr>
        <w:t>b</w:t>
      </w:r>
      <w:r w:rsidRPr="007967BF">
        <w:rPr>
          <w:rFonts w:ascii="Arial" w:eastAsia="Arial" w:hAnsi="Arial" w:cs="Arial"/>
        </w:rPr>
        <w:t>ranch to submit a report to the joint standing committee of the Legislature having jurisdiction over judiciary matters by January 1, 2025 regarding the use of these funds during the first full year after the effective date of this legislation.  The committee may report out legislation related to the report to the 132nd Legislature</w:t>
      </w:r>
      <w:r>
        <w:rPr>
          <w:rFonts w:ascii="Arial" w:eastAsia="Arial" w:hAnsi="Arial" w:cs="Arial"/>
        </w:rPr>
        <w:t xml:space="preserve"> in 2025</w:t>
      </w:r>
      <w:r w:rsidRPr="007967BF">
        <w:rPr>
          <w:rFonts w:ascii="Arial" w:eastAsia="Arial" w:hAnsi="Arial" w:cs="Arial"/>
        </w:rPr>
        <w:t>.</w:t>
      </w:r>
    </w:p>
    <w:p w:rsidR="00A273DF" w:rsidP="00A273DF">
      <w:pPr>
        <w:keepNext/>
        <w:spacing w:before="60" w:after="60"/>
        <w:ind w:left="360"/>
        <w:jc w:val="center"/>
        <w:rPr>
          <w:rFonts w:ascii="Arial" w:eastAsia="Arial" w:hAnsi="Arial" w:cs="Arial"/>
        </w:rPr>
      </w:pPr>
      <w:bookmarkStart w:id="26" w:name="_FISCAL_NOTE_REQUIRED__a1fb1dbd_1421_4bb"/>
      <w:bookmarkStart w:id="27" w:name="_PAR__5_c9286799_0ad2_41c0_96ab_6bcb8a33"/>
      <w:bookmarkEnd w:id="25"/>
      <w:r>
        <w:rPr>
          <w:rFonts w:ascii="Arial" w:eastAsia="Arial" w:hAnsi="Arial" w:cs="Arial"/>
          <w:b/>
        </w:rPr>
        <w:t>FISCAL NOTE REQUIRED</w:t>
      </w:r>
    </w:p>
    <w:p w:rsidR="00000000" w:rsidRPr="00A273DF" w:rsidP="00A273DF">
      <w:pPr>
        <w:spacing w:before="60" w:after="60"/>
        <w:ind w:left="360"/>
        <w:jc w:val="center"/>
        <w:rPr>
          <w:rFonts w:ascii="Arial" w:eastAsia="Arial" w:hAnsi="Arial" w:cs="Arial"/>
          <w:b/>
        </w:rPr>
      </w:pPr>
      <w:bookmarkStart w:id="28" w:name="_PAR__6_c3a3204d_73af_4351_9813_aedc4305"/>
      <w:bookmarkEnd w:id="27"/>
      <w:r>
        <w:rPr>
          <w:rFonts w:ascii="Arial" w:eastAsia="Arial" w:hAnsi="Arial" w:cs="Arial"/>
          <w:b/>
        </w:rPr>
        <w:t>(See attached)</w:t>
      </w:r>
      <w:bookmarkEnd w:id="21"/>
      <w:bookmarkEnd w:id="23"/>
      <w:bookmarkEnd w:id="26"/>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LR0356,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Funding for Children's Guardians Ad Litem</w:t>
    </w:r>
  </w:p>
  <w:p>
    <w:pPr>
      <w:suppressLineNumbers/>
      <w:spacing w:before="0" w:after="0"/>
      <w:jc w:val="center"/>
      <w:rPr>
        <w:rFonts w:ascii="Arial" w:eastAsia="Arial" w:hAnsi="Arial" w:cs="Arial"/>
      </w:rPr>
    </w:pPr>
    <w:r>
      <w:rPr>
        <w:rFonts w:ascii="Arial" w:eastAsia="Arial" w:hAnsi="Arial" w:cs="Arial"/>
        <w:sz w:val="22"/>
      </w:rPr>
      <w:t>L.D. 113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C04C7"/>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67BF"/>
    <w:rsid w:val="007D72C8"/>
    <w:rsid w:val="007F3B1E"/>
    <w:rsid w:val="00801F19"/>
    <w:rsid w:val="00806421"/>
    <w:rsid w:val="008A5943"/>
    <w:rsid w:val="0092322A"/>
    <w:rsid w:val="009367EC"/>
    <w:rsid w:val="0099722B"/>
    <w:rsid w:val="009B3D4F"/>
    <w:rsid w:val="009D6A0B"/>
    <w:rsid w:val="009E724F"/>
    <w:rsid w:val="009F6C9E"/>
    <w:rsid w:val="00A273DF"/>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