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Access to Children's Behavioral Health Services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52 - L.D. 82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Access to Children's Behavioral Health Services</w:t>
      </w:r>
    </w:p>
    <w:p w:rsidR="00130096" w:rsidP="00130096">
      <w:pPr>
        <w:ind w:left="360"/>
        <w:rPr>
          <w:rFonts w:ascii="Arial" w:eastAsia="Arial" w:hAnsi="Arial" w:cs="Arial"/>
        </w:rPr>
      </w:pPr>
      <w:bookmarkStart w:id="0" w:name="_ENACTING_CLAUSE__199bc65a_123f_46e9_9c4"/>
      <w:bookmarkStart w:id="1" w:name="_PAR__1_5c658b2d_b7cd_4c2f_8257_2eb884e8"/>
      <w:bookmarkStart w:id="2" w:name="_DOC_BODY_CONTAINER__f106f78d_a3dd_470e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130096">
      <w:pPr>
        <w:ind w:left="360" w:firstLine="360"/>
        <w:rPr>
          <w:rFonts w:ascii="Arial" w:eastAsia="Arial" w:hAnsi="Arial" w:cs="Arial"/>
        </w:rPr>
      </w:pPr>
      <w:bookmarkStart w:id="3" w:name="_BILL_SECTION_HEADER__63d7cb16_7fb0_42d0"/>
      <w:bookmarkStart w:id="4" w:name="_BILL_SECTION__4813a403_e6bc_4042_8744_9"/>
      <w:bookmarkStart w:id="5" w:name="_PAR__2_9ba32b4d_7451_490b_a703_346ff4b9"/>
      <w:bookmarkStart w:id="6" w:name="_DOC_BODY_CONTENT__c5b593c7_d4ad_45d1_9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309de3b_9bd7_421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34-B MRSA §1208, sub-§8,</w:t>
      </w:r>
      <w:r>
        <w:rPr>
          <w:rFonts w:ascii="Arial" w:eastAsia="Arial" w:hAnsi="Arial" w:cs="Arial"/>
        </w:rPr>
        <w:t xml:space="preserve"> as enacted by PL 2003, c. 673, Pt. SSS, §2, is repealed.</w:t>
      </w:r>
      <w:bookmarkEnd w:id="2"/>
      <w:bookmarkEnd w:id="3"/>
      <w:bookmarkEnd w:id="4"/>
      <w:bookmarkEnd w:id="5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Access to Children's Behavioral 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0096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