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 Regarding the Land for Maine's Future Board to Allow for Proxy Designees</w:t>
      </w:r>
    </w:p>
    <w:p w:rsidR="008B7887" w:rsidP="008B7887">
      <w:pPr>
        <w:ind w:left="360"/>
        <w:rPr>
          <w:rFonts w:ascii="Arial" w:eastAsia="Arial" w:hAnsi="Arial" w:cs="Arial"/>
        </w:rPr>
      </w:pPr>
      <w:bookmarkStart w:id="0" w:name="_ENACTING_CLAUSE__6b71ebfa_776c_4ebc_bc4"/>
      <w:bookmarkStart w:id="1" w:name="_DOC_BODY__dc06c288_e6af_44c4_8994_058a4"/>
      <w:bookmarkStart w:id="2" w:name="_DOC_BODY_CONTAINER__3d6831a0_347c_44f2_"/>
      <w:bookmarkStart w:id="3" w:name="_PAGE__1_a94d7c0f_27cb_40c1_8070_e6e12d9"/>
      <w:bookmarkStart w:id="4" w:name="_PAR__1_16ffed9c_d2cf_4ea6_9615_e4f0fbdf"/>
      <w:bookmarkStart w:id="5" w:name="_LINE__1_203ed54f_a4bd_4d03_b3c0_26853f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B7887" w:rsidP="008B7887">
      <w:pPr>
        <w:ind w:left="360" w:firstLine="360"/>
        <w:rPr>
          <w:rFonts w:ascii="Arial" w:eastAsia="Arial" w:hAnsi="Arial" w:cs="Arial"/>
        </w:rPr>
      </w:pPr>
      <w:bookmarkStart w:id="6" w:name="_BILL_SECTION_HEADER__c1f562ba_51e2_49e4"/>
      <w:bookmarkStart w:id="7" w:name="_BILL_SECTION__e916e6e5_b8a9_4715_a908_4"/>
      <w:bookmarkStart w:id="8" w:name="_DOC_BODY_CONTENT__15533bb8_a285_4a56_a8"/>
      <w:bookmarkStart w:id="9" w:name="_PAR__2_63d76a29_cec6_4a95_9a94_cdede0fc"/>
      <w:bookmarkStart w:id="10" w:name="_LINE__2_5b83f90e_d20f_4631_8c3c_8d7588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0a65174_2d9e_440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§6204, sub-§1,</w:t>
      </w:r>
      <w:r>
        <w:rPr>
          <w:rFonts w:ascii="Arial" w:eastAsia="Arial" w:hAnsi="Arial" w:cs="Arial"/>
        </w:rPr>
        <w:t xml:space="preserve"> as affected by PL 2011, c. 655, Pt. II, §11 and </w:t>
      </w:r>
      <w:bookmarkStart w:id="12" w:name="_LINE__3_e1f852c4_fc02_4098_80b1_b80db31"/>
      <w:bookmarkEnd w:id="10"/>
      <w:r>
        <w:rPr>
          <w:rFonts w:ascii="Arial" w:eastAsia="Arial" w:hAnsi="Arial" w:cs="Arial"/>
        </w:rPr>
        <w:t>amended by c. 657, Pt. X, §3, is further amended to read:</w:t>
      </w:r>
      <w:bookmarkEnd w:id="12"/>
    </w:p>
    <w:p w:rsidR="008B7887" w:rsidP="008B7887">
      <w:pPr>
        <w:ind w:left="360" w:firstLine="360"/>
        <w:rPr>
          <w:rFonts w:ascii="Arial" w:eastAsia="Arial" w:hAnsi="Arial" w:cs="Arial"/>
        </w:rPr>
      </w:pPr>
      <w:bookmarkStart w:id="13" w:name="_STATUTE_NUMBER__b90e5595_9ba9_4b7d_8c67"/>
      <w:bookmarkStart w:id="14" w:name="_STATUTE_SS__0f1ee29b_89ba_470f_acd9_4a3"/>
      <w:bookmarkStart w:id="15" w:name="_PAR__3_0cd4b6b3_fc98_4e76_9f1a_948f6d45"/>
      <w:bookmarkStart w:id="16" w:name="_LINE__4_af881800_d796_465b_87a3_fe9612b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cdb6eb3_3cb3_4ecb_95"/>
      <w:r>
        <w:rPr>
          <w:rFonts w:ascii="Arial" w:eastAsia="Arial" w:hAnsi="Arial" w:cs="Arial"/>
          <w:b/>
        </w:rPr>
        <w:t>Composition.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f887acd8_a943_44a6_b3d"/>
      <w:r>
        <w:rPr>
          <w:rFonts w:ascii="Arial" w:eastAsia="Arial" w:hAnsi="Arial" w:cs="Arial"/>
        </w:rPr>
        <w:t xml:space="preserve">The board consists of 9 members, 6 who are private citizens and 3 </w:t>
      </w:r>
      <w:bookmarkStart w:id="19" w:name="_LINE__5_1cb19ce0_0934_4a62_ae9a_eba25e7"/>
      <w:bookmarkEnd w:id="16"/>
      <w:r>
        <w:rPr>
          <w:rFonts w:ascii="Arial" w:eastAsia="Arial" w:hAnsi="Arial" w:cs="Arial"/>
        </w:rPr>
        <w:t xml:space="preserve">who are permanent members.  The permanent members are the Commissioner of Inland </w:t>
      </w:r>
      <w:bookmarkStart w:id="20" w:name="_LINE__6_f0fc1c94_fe85_418a_adf0_1d3baf6"/>
      <w:bookmarkEnd w:id="19"/>
      <w:r>
        <w:rPr>
          <w:rFonts w:ascii="Arial" w:eastAsia="Arial" w:hAnsi="Arial" w:cs="Arial"/>
        </w:rPr>
        <w:t xml:space="preserve">Fisheries and Wildlife; the Commissioner of Marine Resources; and the Commissioner of </w:t>
      </w:r>
      <w:bookmarkStart w:id="21" w:name="_LINE__7_531029f7_3ec5_4b5e_808a_9ac3645"/>
      <w:bookmarkEnd w:id="20"/>
      <w:r>
        <w:rPr>
          <w:rFonts w:ascii="Arial" w:eastAsia="Arial" w:hAnsi="Arial" w:cs="Arial"/>
        </w:rPr>
        <w:t>Agriculture, Conservation and Forestry.</w:t>
      </w:r>
      <w:bookmarkStart w:id="22" w:name="_PROCESSED_CHANGE__569f9d1c_6175_4682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permanent member may app</w:t>
      </w:r>
      <w:r>
        <w:rPr>
          <w:rFonts w:ascii="Arial" w:eastAsia="Arial" w:hAnsi="Arial" w:cs="Arial"/>
          <w:u w:val="single"/>
        </w:rPr>
        <w:t xml:space="preserve">oint a designee to </w:t>
      </w:r>
      <w:bookmarkStart w:id="23" w:name="_LINE__8_9f43482d_756f_496d_9e68_2c05632"/>
      <w:bookmarkEnd w:id="21"/>
      <w:r>
        <w:rPr>
          <w:rFonts w:ascii="Arial" w:eastAsia="Arial" w:hAnsi="Arial" w:cs="Arial"/>
          <w:u w:val="single"/>
        </w:rPr>
        <w:t>represent that member at board meetings.</w:t>
      </w:r>
      <w:bookmarkEnd w:id="18"/>
      <w:bookmarkEnd w:id="22"/>
      <w:bookmarkEnd w:id="23"/>
    </w:p>
    <w:p w:rsidR="008B7887" w:rsidP="008B788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26a6f9fe_e0ca_4668_883d_ac0272"/>
      <w:bookmarkStart w:id="25" w:name="_PAR__4_474414f0_81b6_426a_8054_e9bd4a32"/>
      <w:bookmarkStart w:id="26" w:name="_LINE__9_8684be68_67d4_4203_8889_d078d51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8B7887" w:rsidP="008B7887">
      <w:pPr>
        <w:ind w:left="360" w:firstLine="360"/>
        <w:rPr>
          <w:rFonts w:ascii="Arial" w:eastAsia="Arial" w:hAnsi="Arial" w:cs="Arial"/>
        </w:rPr>
      </w:pPr>
      <w:bookmarkStart w:id="27" w:name="_PAR__5_d9531cdf_289a_4904_a39e_a2c8b706"/>
      <w:bookmarkStart w:id="28" w:name="_LINE__10_116e7eb6_131f_4e3e_85bf_c7c2ca"/>
      <w:bookmarkEnd w:id="25"/>
      <w:r>
        <w:rPr>
          <w:rFonts w:ascii="Arial" w:eastAsia="Arial" w:hAnsi="Arial" w:cs="Arial"/>
        </w:rPr>
        <w:t xml:space="preserve">This bill allows each permanent member of the Land for Maine's Future Board to </w:t>
      </w:r>
      <w:bookmarkStart w:id="29" w:name="_LINE__11_edd30fb1_37be_4354_887f_1b6134"/>
      <w:bookmarkEnd w:id="28"/>
      <w:r>
        <w:rPr>
          <w:rFonts w:ascii="Arial" w:eastAsia="Arial" w:hAnsi="Arial" w:cs="Arial"/>
        </w:rPr>
        <w:t>designate a proxy for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board meetings.  The permanent members of the board are the </w:t>
      </w:r>
      <w:bookmarkStart w:id="30" w:name="_LINE__12_442bbc4e_317e_46c4_8bf7_2af34f"/>
      <w:bookmarkEnd w:id="29"/>
      <w:r>
        <w:rPr>
          <w:rFonts w:ascii="Arial" w:eastAsia="Arial" w:hAnsi="Arial" w:cs="Arial"/>
        </w:rPr>
        <w:t xml:space="preserve">Commissioner of Inland Fisheries and Wildlife, the Commissioner of Marine Resources </w:t>
      </w:r>
      <w:bookmarkStart w:id="31" w:name="_LINE__13_7319186d_b8d5_483d_8429_81f3ea"/>
      <w:bookmarkEnd w:id="30"/>
      <w:r>
        <w:rPr>
          <w:rFonts w:ascii="Arial" w:eastAsia="Arial" w:hAnsi="Arial" w:cs="Arial"/>
        </w:rPr>
        <w:t xml:space="preserve">and the Commissioner of Agriculture, Conservation and Forestry. </w:t>
      </w:r>
      <w:bookmarkEnd w:id="31"/>
    </w:p>
    <w:bookmarkEnd w:id="1"/>
    <w:bookmarkEnd w:id="2"/>
    <w:bookmarkEnd w:id="3"/>
    <w:bookmarkEnd w:id="24"/>
    <w:bookmarkEnd w:id="27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 Regarding the Land for Maine's Future Board to Allow for Proxy Designees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B7887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