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Cap on Bonds Issued by the Maine State Housing Authority to Reflect Current Housing Production Needs in the State</w:t>
      </w:r>
    </w:p>
    <w:p w:rsidR="00FB52CF" w:rsidP="00FB52CF">
      <w:pPr>
        <w:ind w:left="360"/>
        <w:rPr>
          <w:rFonts w:ascii="Arial" w:eastAsia="Arial" w:hAnsi="Arial" w:cs="Arial"/>
        </w:rPr>
      </w:pPr>
      <w:bookmarkStart w:id="0" w:name="_ENACTING_CLAUSE__e5d8cb87_3c40_40c2_95f"/>
      <w:bookmarkStart w:id="1" w:name="_DOC_BODY__f401704f_7c50_407e_919a_96bd8"/>
      <w:bookmarkStart w:id="2" w:name="_DOC_BODY_CONTAINER__45b06b24_17fe_47c9_"/>
      <w:bookmarkStart w:id="3" w:name="_PAGE__1_1f9ac290_4319_449a_a900_04ea342"/>
      <w:bookmarkStart w:id="4" w:name="_PAR__1_73fa59cf_3834_4192_9016_8b2c6d57"/>
      <w:bookmarkStart w:id="5" w:name="_LINE__1_970080df_8684_46f8_a2fb_e42d67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B52CF" w:rsidP="00FB52CF">
      <w:pPr>
        <w:ind w:left="360" w:firstLine="360"/>
        <w:rPr>
          <w:rFonts w:ascii="Arial" w:eastAsia="Arial" w:hAnsi="Arial" w:cs="Arial"/>
        </w:rPr>
      </w:pPr>
      <w:bookmarkStart w:id="6" w:name="_BILL_SECTION_HEADER__2cccb9ff_8438_4e7f"/>
      <w:bookmarkStart w:id="7" w:name="_BILL_SECTION__3dc115e8_2d23_4a5c_80b6_a"/>
      <w:bookmarkStart w:id="8" w:name="_DOC_BODY_CONTENT__5be61999_9eba_496d_a2"/>
      <w:bookmarkStart w:id="9" w:name="_PAR__2_5107aef1_9ee4_4e9c_b350_5af3552a"/>
      <w:bookmarkStart w:id="10" w:name="_LINE__2_9dff5e14_2585_41b4_8f9a_448937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4ab7ed9_38d0_4e4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§4907, sub-§1,</w:t>
      </w:r>
      <w:r>
        <w:rPr>
          <w:rFonts w:ascii="Arial" w:eastAsia="Arial" w:hAnsi="Arial" w:cs="Arial"/>
        </w:rPr>
        <w:t xml:space="preserve"> as amended by PL 2023, c. 559, §1, is further </w:t>
      </w:r>
      <w:bookmarkStart w:id="12" w:name="_LINE__3_52cec01d_ddaf_4300_9771_3db542f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FB52CF" w:rsidP="00FB52CF">
      <w:pPr>
        <w:ind w:left="360" w:firstLine="360"/>
        <w:rPr>
          <w:rFonts w:ascii="Arial" w:eastAsia="Arial" w:hAnsi="Arial" w:cs="Arial"/>
        </w:rPr>
      </w:pPr>
      <w:bookmarkStart w:id="13" w:name="_STATUTE_NUMBER__6597c1e6_d158_408f_b829"/>
      <w:bookmarkStart w:id="14" w:name="_STATUTE_SS__e5c086d2_8789_483e_a55d_af0"/>
      <w:bookmarkStart w:id="15" w:name="_PAR__3_ada0305f_ca5c_4394_918b_cdb7c4c0"/>
      <w:bookmarkStart w:id="16" w:name="_LINE__4_b06ae72c_8987_4c81_9596_128a32f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a21e186f_1b3f_4b05_86"/>
      <w:r>
        <w:rPr>
          <w:rFonts w:ascii="Arial" w:eastAsia="Arial" w:hAnsi="Arial" w:cs="Arial"/>
          <w:b/>
        </w:rPr>
        <w:t>Limitations on amount of outstanding principal.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1245ded2_97d0_4eae_9aa"/>
      <w:r>
        <w:rPr>
          <w:rFonts w:ascii="Arial" w:eastAsia="Arial" w:hAnsi="Arial" w:cs="Arial"/>
        </w:rPr>
        <w:t xml:space="preserve">The Maine State Housing </w:t>
      </w:r>
      <w:bookmarkStart w:id="19" w:name="_LINE__5_4f132eed_0bd2_45d6_9dba_3080221"/>
      <w:bookmarkEnd w:id="16"/>
      <w:r>
        <w:rPr>
          <w:rFonts w:ascii="Arial" w:eastAsia="Arial" w:hAnsi="Arial" w:cs="Arial"/>
        </w:rPr>
        <w:t>Authority may not at any time have an aggregate principal amount outstanding</w:t>
      </w:r>
      <w:bookmarkStart w:id="20" w:name="_PROCESSED_CHANGE__92e56062_addc_4c1d_98"/>
      <w:r>
        <w:rPr>
          <w:rFonts w:ascii="Arial" w:eastAsia="Arial" w:hAnsi="Arial" w:cs="Arial"/>
          <w:strike/>
        </w:rPr>
        <w:t>,</w:t>
      </w:r>
      <w:bookmarkEnd w:id="20"/>
      <w:r>
        <w:rPr>
          <w:rFonts w:ascii="Arial" w:eastAsia="Arial" w:hAnsi="Arial" w:cs="Arial"/>
        </w:rPr>
        <w:t xml:space="preserve"> in excess </w:t>
      </w:r>
      <w:bookmarkStart w:id="21" w:name="_LINE__6_16ed7b2f_f8ac_4552_90c7_267c976"/>
      <w:bookmarkEnd w:id="19"/>
      <w:r>
        <w:rPr>
          <w:rFonts w:ascii="Arial" w:eastAsia="Arial" w:hAnsi="Arial" w:cs="Arial"/>
        </w:rPr>
        <w:t xml:space="preserve">of </w:t>
      </w:r>
      <w:bookmarkStart w:id="22" w:name="_PROCESSED_CHANGE__5c441242_9f46_470e_b3"/>
      <w:r>
        <w:rPr>
          <w:rFonts w:ascii="Arial" w:eastAsia="Arial" w:hAnsi="Arial" w:cs="Arial"/>
          <w:strike/>
        </w:rPr>
        <w:t>$3,000,000,000</w:t>
      </w:r>
      <w:bookmarkStart w:id="23" w:name="_PROCESSED_CHANGE__be76fefc_8958_4126_87"/>
      <w:bookmarkEnd w:id="2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$4,000,000,000</w:t>
      </w:r>
      <w:bookmarkEnd w:id="23"/>
      <w:r>
        <w:rPr>
          <w:rFonts w:ascii="Arial" w:eastAsia="Arial" w:hAnsi="Arial" w:cs="Arial"/>
        </w:rPr>
        <w:t xml:space="preserve"> of mortgage purchase bonds secured by the Housing </w:t>
      </w:r>
      <w:bookmarkStart w:id="24" w:name="_LINE__7_9ccd1e63_72eb_4680_a832_c55e1e1"/>
      <w:bookmarkEnd w:id="21"/>
      <w:r>
        <w:rPr>
          <w:rFonts w:ascii="Arial" w:eastAsia="Arial" w:hAnsi="Arial" w:cs="Arial"/>
        </w:rPr>
        <w:t xml:space="preserve">Reserve Fund or a Capital Reserve Fund to which </w:t>
      </w:r>
      <w:bookmarkStart w:id="25" w:name="_CROSS_REFERENCE__8cb8917a_febc_4a06_990"/>
      <w:r>
        <w:rPr>
          <w:rFonts w:ascii="Arial" w:eastAsia="Arial" w:hAnsi="Arial" w:cs="Arial"/>
        </w:rPr>
        <w:t>section 4906, subsection 3, paragraph A</w:t>
      </w:r>
      <w:bookmarkEnd w:id="25"/>
      <w:r>
        <w:rPr>
          <w:rFonts w:ascii="Arial" w:eastAsia="Arial" w:hAnsi="Arial" w:cs="Arial"/>
        </w:rPr>
        <w:t xml:space="preserve"> </w:t>
      </w:r>
      <w:bookmarkStart w:id="26" w:name="_LINE__8_245106f3_3c2d_429b_adfd_e68a5cc"/>
      <w:bookmarkEnd w:id="24"/>
      <w:r>
        <w:rPr>
          <w:rFonts w:ascii="Arial" w:eastAsia="Arial" w:hAnsi="Arial" w:cs="Arial"/>
        </w:rPr>
        <w:t xml:space="preserve">applies.  Mortgage purchase bonds of the Maine State Housing Authority secured by capital </w:t>
      </w:r>
      <w:bookmarkStart w:id="27" w:name="_LINE__9_c7bc1e6c_e2de_4f04_8b2e_0b27c2e"/>
      <w:bookmarkEnd w:id="26"/>
      <w:r>
        <w:rPr>
          <w:rFonts w:ascii="Arial" w:eastAsia="Arial" w:hAnsi="Arial" w:cs="Arial"/>
        </w:rPr>
        <w:t xml:space="preserve">reserve funds to which section 4906, subsection 3, paragraph A does not apply, bond or </w:t>
      </w:r>
      <w:bookmarkStart w:id="28" w:name="_LINE__10_fb0b0d29_bfca_493e_b105_419251"/>
      <w:bookmarkEnd w:id="27"/>
      <w:r>
        <w:rPr>
          <w:rFonts w:ascii="Arial" w:eastAsia="Arial" w:hAnsi="Arial" w:cs="Arial"/>
        </w:rPr>
        <w:t xml:space="preserve">mortgage insurance, direct or indirect contract with the United States, purchase or </w:t>
      </w:r>
      <w:bookmarkStart w:id="29" w:name="_LINE__11_88de9ac1_633e_45f6_bbb2_5da972"/>
      <w:bookmarkEnd w:id="28"/>
      <w:r>
        <w:rPr>
          <w:rFonts w:ascii="Arial" w:eastAsia="Arial" w:hAnsi="Arial" w:cs="Arial"/>
        </w:rPr>
        <w:t xml:space="preserve">repurchase agreement of guaranty with a banking or other financial organization or other </w:t>
      </w:r>
      <w:bookmarkStart w:id="30" w:name="_LINE__12_89894866_1b8d_4998_ab09_e1fb3b"/>
      <w:bookmarkEnd w:id="29"/>
      <w:r>
        <w:rPr>
          <w:rFonts w:ascii="Arial" w:eastAsia="Arial" w:hAnsi="Arial" w:cs="Arial"/>
        </w:rPr>
        <w:t xml:space="preserve">credit arrangements securing the bonds may be issued up to $100,000,000 per calendar year </w:t>
      </w:r>
      <w:bookmarkStart w:id="31" w:name="_LINE__13_f81f3a62_3160_476c_84cd_96998f"/>
      <w:bookmarkEnd w:id="30"/>
      <w:r>
        <w:rPr>
          <w:rFonts w:ascii="Arial" w:eastAsia="Arial" w:hAnsi="Arial" w:cs="Arial"/>
        </w:rPr>
        <w:t>in an aggregate principal amount outstanding at any time not to exceed $300,000,000.</w:t>
      </w:r>
      <w:bookmarkEnd w:id="18"/>
      <w:bookmarkEnd w:id="31"/>
    </w:p>
    <w:p w:rsidR="00FB52CF" w:rsidP="00FB52C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fc919382_5688_4c8b_90e2_d3c750"/>
      <w:bookmarkStart w:id="33" w:name="_PAR__4_beddce95_a932_46c0_a930_e031dbdc"/>
      <w:bookmarkStart w:id="34" w:name="_LINE__14_4a7e40fc_b8b9_47fe_a715_12db42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4"/>
    </w:p>
    <w:p w:rsidR="00FB52CF" w:rsidP="00FB52CF">
      <w:pPr>
        <w:ind w:left="360" w:firstLine="360"/>
        <w:rPr>
          <w:rFonts w:ascii="Arial" w:eastAsia="Arial" w:hAnsi="Arial" w:cs="Arial"/>
        </w:rPr>
      </w:pPr>
      <w:bookmarkStart w:id="35" w:name="_PAR__5_ce338988_dcb8_4654_a3e8_452009cf"/>
      <w:bookmarkStart w:id="36" w:name="_LINE__15_549c429a_6acd_4d3f_bce9_d15ff1"/>
      <w:bookmarkEnd w:id="33"/>
      <w:r>
        <w:rPr>
          <w:rFonts w:ascii="Arial" w:eastAsia="Arial" w:hAnsi="Arial" w:cs="Arial"/>
        </w:rPr>
        <w:t xml:space="preserve">This bill increases from $3,000,000,000 to $4,000,000,000 the cap on certain mortgage </w:t>
      </w:r>
      <w:bookmarkStart w:id="37" w:name="_LINE__16_202400d6_58d1_4d48_b436_62cdd9"/>
      <w:bookmarkEnd w:id="36"/>
      <w:r>
        <w:rPr>
          <w:rFonts w:ascii="Arial" w:eastAsia="Arial" w:hAnsi="Arial" w:cs="Arial"/>
        </w:rPr>
        <w:t>purchase bonds issued by the Maine State Housing Authority.</w:t>
      </w:r>
      <w:bookmarkEnd w:id="37"/>
    </w:p>
    <w:bookmarkEnd w:id="1"/>
    <w:bookmarkEnd w:id="2"/>
    <w:bookmarkEnd w:id="3"/>
    <w:bookmarkEnd w:id="32"/>
    <w:bookmarkEnd w:id="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LR2895,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Cap on Bonds Issued by the Maine State Housing Authority to Reflect Current Housing Production Needs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B52CF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149626</ItemId>
    <LRId>76853</LRId>
    <LRNumber>2895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the Cap on Bonds Issued by the Maine State Housing Authority to Reflect Current Housing Production Needs in the State</LRTitle>
    <ItemTitle>An Act to Increase the Cap on Bonds Issued by the Maine State Housing Authority to Reflect Current Housing Production Needs in the State</ItemTitle>
    <ShortTitle1>INCREASE THE CAP ON BONDS</ShortTitle1>
    <ShortTitle2>ISSUED BY THE MAINE STATE HOUS</ShortTitle2>
    <JacketLegend>Approved for introduction by a majority of the Legislative Council pursuant to Joint Rule 203.</JacketLegend>
    <SponsorFirstName>Chip</SponsorFirstName>
    <SponsorLastName>Curry</SponsorLastName>
    <SponsorChamberPrefix>Sen.</SponsorChamberPrefix>
    <SponsorFrom>Waldo</SponsorFrom>
    <DraftingCycleCount>1</DraftingCycleCount>
    <LatestDraftingActionId>130</LatestDraftingActionId>
    <LatestDraftingActionDate>2025-10-31T12:23:41</LatestDraftingActionDate>
    <LatestDrafterName>amolesworth</LatestDrafterName>
    <LatestProoferName>ekeyes</LatestProoferName>
    <LatestTechName>clhall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w:rsidR="00FB52CF" w:rsidRDefault="00FB52CF" w:rsidP="00FB52CF"&amp;gt;&amp;lt;w:pPr&amp;gt;&amp;lt;w:ind w:left="360" /&amp;gt;&amp;lt;/w:pPr&amp;gt;&amp;lt;w:bookmarkStart w:id="0" w:name="_ENACTING_CLAUSE__e5d8cb87_3c40_40c2_95f" /&amp;gt;&amp;lt;w:bookmarkStart w:id="1" w:name="_DOC_BODY__f401704f_7c50_407e_919a_96bd8" /&amp;gt;&amp;lt;w:bookmarkStart w:id="2" w:name="_DOC_BODY_CONTAINER__45b06b24_17fe_47c9_" /&amp;gt;&amp;lt;w:bookmarkStart w:id="3" w:name="_PAGE__1_1f9ac290_4319_449a_a900_04ea342" /&amp;gt;&amp;lt;w:bookmarkStart w:id="4" w:name="_PAR__1_73fa59cf_3834_4192_9016_8b2c6d57" /&amp;gt;&amp;lt;w:bookmarkStart w:id="5" w:name="_LINE__1_970080df_8684_46f8_a2fb_e42d67f"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w:rsidR="00FB52CF" w:rsidRDefault="00FB52CF" w:rsidP="00FB52CF"&amp;gt;&amp;lt;w:pPr&amp;gt;&amp;lt;w:ind w:left="360" w:firstLine="360" /&amp;gt;&amp;lt;/w:pPr&amp;gt;&amp;lt;w:bookmarkStart w:id="6" w:name="_BILL_SECTION_HEADER__2cccb9ff_8438_4e7f" /&amp;gt;&amp;lt;w:bookmarkStart w:id="7" w:name="_BILL_SECTION__3dc115e8_2d23_4a5c_80b6_a" /&amp;gt;&amp;lt;w:bookmarkStart w:id="8" w:name="_DOC_BODY_CONTENT__5be61999_9eba_496d_a2" /&amp;gt;&amp;lt;w:bookmarkStart w:id="9" w:name="_PAR__2_5107aef1_9ee4_4e9c_b350_5af3552a" /&amp;gt;&amp;lt;w:bookmarkStart w:id="10" w:name="_LINE__2_9dff5e14_2585_41b4_8f9a_4489375"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w:name="_BILL_SECTION_NUMBER__64ab7ed9_38d0_4e41"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§4907, sub-§1,&amp;lt;/w:t&amp;gt;&amp;lt;/w:r&amp;gt;&amp;lt;w:r&amp;gt;&amp;lt;w:t xml:space="preserve"&amp;gt; as amended by PL 2023, c. 559, §1, is further &amp;lt;/w:t&amp;gt;&amp;lt;/w:r&amp;gt;&amp;lt;w:bookmarkStart w:id="12" w:name="_LINE__3_52cec01d_ddaf_4300_9771_3db542f" /&amp;gt;&amp;lt;w:bookmarkEnd w:id="10" /&amp;gt;&amp;lt;w:r&amp;gt;&amp;lt;w:t&amp;gt;amended to read:&amp;lt;/w:t&amp;gt;&amp;lt;/w:r&amp;gt;&amp;lt;w:bookmarkEnd w:id="12" /&amp;gt;&amp;lt;/w:p&amp;gt;&amp;lt;w:p w:rsidR="00FB52CF" w:rsidRDefault="00FB52CF" w:rsidP="00FB52CF"&amp;gt;&amp;lt;w:pPr&amp;gt;&amp;lt;w:ind w:left="360" w:firstLine="360" /&amp;gt;&amp;lt;/w:pPr&amp;gt;&amp;lt;w:bookmarkStart w:id="13" w:name="_STATUTE_NUMBER__6597c1e6_d158_408f_b829" /&amp;gt;&amp;lt;w:bookmarkStart w:id="14" w:name="_STATUTE_SS__e5c086d2_8789_483e_a55d_af0" /&amp;gt;&amp;lt;w:bookmarkStart w:id="15" w:name="_PAR__3_ada0305f_ca5c_4394_918b_cdb7c4c0" /&amp;gt;&amp;lt;w:bookmarkStart w:id="16" w:name="_LINE__4_b06ae72c_8987_4c81_9596_128a32f"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w:name="_STATUTE_HEADNOTE__a21e186f_1b3f_4b05_86" /&amp;gt;&amp;lt;w:r&amp;gt;&amp;lt;w:rPr&amp;gt;&amp;lt;w:b /&amp;gt;&amp;lt;/w:rPr&amp;gt;&amp;lt;w:t&amp;gt;Limitations on amount of outstanding principal.&amp;lt;/w:t&amp;gt;&amp;lt;/w:r&amp;gt;&amp;lt;w:bookmarkEnd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w:name="_STATUTE_CONTENT__1245ded2_97d0_4eae_9aa" /&amp;gt;&amp;lt;w:r&amp;gt;&amp;lt;w:t xml:space="preserve"&amp;gt;The Maine State Housing &amp;lt;/w:t&amp;gt;&amp;lt;/w:r&amp;gt;&amp;lt;w:bookmarkStart w:id="19" w:name="_LINE__5_4f132eed_0bd2_45d6_9dba_3080221" /&amp;gt;&amp;lt;w:bookmarkEnd w:id="16" /&amp;gt;&amp;lt;w:r&amp;gt;&amp;lt;w:t&amp;gt;Authority may not at any time have an aggregate principal amount outstanding&amp;lt;/w:t&amp;gt;&amp;lt;/w:r&amp;gt;&amp;lt;w:bookmarkStart w:id="20" w:name="_PROCESSED_CHANGE__92e56062_addc_4c1d_98" /&amp;gt;&amp;lt;w:del w:id="21" w:author="BPS" w:date="2025-10-30T12:24:00Z"&amp;gt;&amp;lt;w:r w:rsidDel="009A6A80"&amp;gt;&amp;lt;w:delText&amp;gt;,&amp;lt;/w:delText&amp;gt;&amp;lt;/w:r&amp;gt;&amp;lt;/w:del&amp;gt;&amp;lt;w:bookmarkEnd w:id="20" /&amp;gt;&amp;lt;w:r&amp;gt;&amp;lt;w:t xml:space="preserve"&amp;gt; in excess &amp;lt;/w:t&amp;gt;&amp;lt;/w:r&amp;gt;&amp;lt;w:bookmarkStart w:id="22" w:name="_LINE__6_16ed7b2f_f8ac_4552_90c7_267c976" /&amp;gt;&amp;lt;w:bookmarkEnd w:id="19" /&amp;gt;&amp;lt;w:r&amp;gt;&amp;lt;w:t xml:space="preserve"&amp;gt;of &amp;lt;/w:t&amp;gt;&amp;lt;/w:r&amp;gt;&amp;lt;w:bookmarkStart w:id="23" w:name="_PROCESSED_CHANGE__5c441242_9f46_470e_b3" /&amp;gt;&amp;lt;w:del w:id="24" w:author="BPS" w:date="2025-10-28T09:53:00Z"&amp;gt;&amp;lt;w:r w:rsidDel="00345A53"&amp;gt;&amp;lt;w:delText&amp;gt;$3,000,000,000&amp;lt;/w:delText&amp;gt;&amp;lt;/w:r&amp;gt;&amp;lt;/w:del&amp;gt;&amp;lt;w:bookmarkStart w:id="25" w:name="_PROCESSED_CHANGE__be76fefc_8958_4126_87" /&amp;gt;&amp;lt;w:bookmarkEnd w:id="23" /&amp;gt;&amp;lt;w:r&amp;gt;&amp;lt;w:t xml:space="preserve"&amp;gt; &amp;lt;/w:t&amp;gt;&amp;lt;/w:r&amp;gt;&amp;lt;w:ins w:id="26" w:author="BPS" w:date="2025-10-28T09:53:00Z"&amp;gt;&amp;lt;w:r&amp;gt;&amp;lt;w:t&amp;gt;$4,000,000,000&amp;lt;/w:t&amp;gt;&amp;lt;/w:r&amp;gt;&amp;lt;/w:ins&amp;gt;&amp;lt;w:bookmarkEnd w:id="25" /&amp;gt;&amp;lt;w:r&amp;gt;&amp;lt;w:t xml:space="preserve"&amp;gt; of mortgage purchase bonds secured by the Housing &amp;lt;/w:t&amp;gt;&amp;lt;/w:r&amp;gt;&amp;lt;w:bookmarkStart w:id="27" w:name="_LINE__7_9ccd1e63_72eb_4680_a832_c55e1e1" /&amp;gt;&amp;lt;w:bookmarkEnd w:id="22" /&amp;gt;&amp;lt;w:r&amp;gt;&amp;lt;w:t xml:space="preserve"&amp;gt;Reserve Fund or a Capital Reserve Fund to which &amp;lt;/w:t&amp;gt;&amp;lt;/w:r&amp;gt;&amp;lt;w:bookmarkStart w:id="28" w:name="_CROSS_REFERENCE__8cb8917a_febc_4a06_990" /&amp;gt;&amp;lt;w:r&amp;gt;&amp;lt;w:t&amp;gt;section 4906, subsection 3, paragraph A&amp;lt;/w:t&amp;gt;&amp;lt;/w:r&amp;gt;&amp;lt;w:bookmarkEnd w:id="28" /&amp;gt;&amp;lt;w:r&amp;gt;&amp;lt;w:t xml:space="preserve"&amp;gt; &amp;lt;/w:t&amp;gt;&amp;lt;/w:r&amp;gt;&amp;lt;w:bookmarkStart w:id="29" w:name="_LINE__8_245106f3_3c2d_429b_adfd_e68a5cc" /&amp;gt;&amp;lt;w:bookmarkEnd w:id="27" /&amp;gt;&amp;lt;w:r&amp;gt;&amp;lt;w:t xml:space="preserve"&amp;gt;applies.  Mortgage purchase bonds of the Maine State Housing Authority secured by capital &amp;lt;/w:t&amp;gt;&amp;lt;/w:r&amp;gt;&amp;lt;w:bookmarkStart w:id="30" w:name="_LINE__9_c7bc1e6c_e2de_4f04_8b2e_0b27c2e" /&amp;gt;&amp;lt;w:bookmarkEnd w:id="29" /&amp;gt;&amp;lt;w:r&amp;gt;&amp;lt;w:t xml:space="preserve"&amp;gt;reserve funds to which section 4906, subsection 3, paragraph A does not apply, bond or &amp;lt;/w:t&amp;gt;&amp;lt;/w:r&amp;gt;&amp;lt;w:bookmarkStart w:id="31" w:name="_LINE__10_fb0b0d29_bfca_493e_b105_419251" /&amp;gt;&amp;lt;w:bookmarkEnd w:id="30" /&amp;gt;&amp;lt;w:r&amp;gt;&amp;lt;w:t xml:space="preserve"&amp;gt;mortgage insurance, direct or indirect contract with the United States, purchase or &amp;lt;/w:t&amp;gt;&amp;lt;/w:r&amp;gt;&amp;lt;w:bookmarkStart w:id="32" w:name="_LINE__11_88de9ac1_633e_45f6_bbb2_5da972" /&amp;gt;&amp;lt;w:bookmarkEnd w:id="31" /&amp;gt;&amp;lt;w:r&amp;gt;&amp;lt;w:t xml:space="preserve"&amp;gt;repurchase agreement of guaranty with a banking or other financial organization or other &amp;lt;/w:t&amp;gt;&amp;lt;/w:r&amp;gt;&amp;lt;w:bookmarkStart w:id="33" w:name="_LINE__12_89894866_1b8d_4998_ab09_e1fb3b" /&amp;gt;&amp;lt;w:bookmarkEnd w:id="32" /&amp;gt;&amp;lt;w:r&amp;gt;&amp;lt;w:t xml:space="preserve"&amp;gt;credit arrangements securing the bonds may be issued up to $100,000,000 per calendar year &amp;lt;/w:t&amp;gt;&amp;lt;/w:r&amp;gt;&amp;lt;w:bookmarkStart w:id="34" w:name="_LINE__13_f81f3a62_3160_476c_84cd_96998f" /&amp;gt;&amp;lt;w:bookmarkEnd w:id="33" /&amp;gt;&amp;lt;w:r&amp;gt;&amp;lt;w:t&amp;gt;in an aggregate principal amount outstanding at any time not to exceed $300,000,000.&amp;lt;/w:t&amp;gt;&amp;lt;/w:r&amp;gt;&amp;lt;w:bookmarkEnd w:id="18" /&amp;gt;&amp;lt;w:bookmarkEnd w:id="34" /&amp;gt;&amp;lt;/w:p&amp;gt;&amp;lt;w:p w:rsidR="00FB52CF" w:rsidRDefault="00FB52CF" w:rsidP="00FB52CF"&amp;gt;&amp;lt;w:pPr&amp;gt;&amp;lt;w:keepNext /&amp;gt;&amp;lt;w:spacing w:before="240" /&amp;gt;&amp;lt;w:ind w:left="360" /&amp;gt;&amp;lt;w:jc w:val="center" /&amp;gt;&amp;lt;/w:pPr&amp;gt;&amp;lt;w:bookmarkStart w:id="35" w:name="_SUMMARY__fc919382_5688_4c8b_90e2_d3c750" /&amp;gt;&amp;lt;w:bookmarkStart w:id="36" w:name="_PAR__4_beddce95_a932_46c0_a930_e031dbdc" /&amp;gt;&amp;lt;w:bookmarkStart w:id="37" w:name="_LINE__14_4a7e40fc_b8b9_47fe_a715_12db42"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w:id="37" /&amp;gt;&amp;lt;/w:p&amp;gt;&amp;lt;w:p w:rsidR="00FB52CF" w:rsidRDefault="00FB52CF" w:rsidP="00FB52CF"&amp;gt;&amp;lt;w:pPr&amp;gt;&amp;lt;w:ind w:left="360" w:firstLine="360" /&amp;gt;&amp;lt;/w:pPr&amp;gt;&amp;lt;w:bookmarkStart w:id="38" w:name="_PAR__5_ce338988_dcb8_4654_a3e8_452009cf" /&amp;gt;&amp;lt;w:bookmarkStart w:id="39" w:name="_LINE__15_549c429a_6acd_4d3f_bce9_d15ff1" /&amp;gt;&amp;lt;w:bookmarkEnd w:id="36" /&amp;gt;&amp;lt;w:r&amp;gt;&amp;lt;w:t xml:space="preserve"&amp;gt;This bill increases from $3,000,000,000 to $4,000,000,000 the cap on certain mortgage &amp;lt;/w:t&amp;gt;&amp;lt;/w:r&amp;gt;&amp;lt;w:bookmarkStart w:id="40" w:name="_LINE__16_202400d6_58d1_4d48_b436_62cdd9" /&amp;gt;&amp;lt;w:bookmarkEnd w:id="39" /&amp;gt;&amp;lt;w:r&amp;gt;&amp;lt;w:t&amp;gt;purchase bonds issued by the Maine State Housing Authority.&amp;lt;/w:t&amp;gt;&amp;lt;/w:r&amp;gt;&amp;lt;w:bookmarkEnd w:id="40" /&amp;gt;&amp;lt;/w:p&amp;gt;&amp;lt;w:bookmarkEnd w:id="1" /&amp;gt;&amp;lt;w:bookmarkEnd w:id="2" /&amp;gt;&amp;lt;w:bookmarkEnd w:id="3" /&amp;gt;&amp;lt;w:bookmarkEnd w:id="35" /&amp;gt;&amp;lt;w:bookmarkEnd w:id="38" /&amp;gt;&amp;lt;w:p w:rsidR="00000000" w:rsidRDefault="00FB52CF"&amp;gt;&amp;lt;w:r&amp;gt;&amp;lt;w:t xml:space="preserve"&amp;gt; &amp;lt;/w:t&amp;gt;&amp;lt;/w:r&amp;gt;&amp;lt;/w:p&amp;gt;&amp;lt;w:sectPr w:rsidR="00000000" w:rsidSect="00FB52CF"&amp;gt;&amp;lt;w:footerReference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w:rsidR="000B3027" w:rsidRDefault="00FB52CF"&amp;gt;&amp;lt;w:pPr&amp;gt;&amp;lt;w:pStyle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/&amp;gt;&amp;lt;/w:rPr&amp;gt;&amp;lt;w:t&amp;gt;132LR2895(01)&amp;lt;/w:t&amp;gt;&amp;lt;/w:r&amp;gt;&amp;lt;w:r&amp;gt;&amp;lt;w:rPr&amp;gt;&amp;lt;w:snapToGrid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f9ac290_4319_449a_a900_04ea342&lt;/BookmarkName&gt;&lt;Tables /&gt;&lt;/ProcessedCheckInPage&gt;&lt;/Pages&gt;&lt;Paragraphs&gt;&lt;CheckInParagraphs&gt;&lt;PageNumber&gt;1&lt;/PageNumber&gt;&lt;BookmarkName&gt;_PAR__1_73fa59cf_3834_4192_9016_8b2c6d57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5107aef1_9ee4_4e9c_b350_5af3552a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da0305f_ca5c_4394_918b_cdb7c4c0&lt;/BookmarkName&gt;&lt;StartingLineNumber&gt;4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eddce95_a932_46c0_a930_e031dbdc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e338988_dcb8_4654_a3e8_452009cf&lt;/BookmarkName&gt;&lt;StartingLineNumber&gt;15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