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the Child and Family Court Process by Increasing the Number and Duties of Family Law Magistrates</w:t>
      </w:r>
    </w:p>
    <w:p w:rsidR="00B45E4E" w:rsidP="00B45E4E">
      <w:pPr>
        <w:ind w:left="360"/>
        <w:rPr>
          <w:rFonts w:ascii="Arial" w:eastAsia="Arial" w:hAnsi="Arial" w:cs="Arial"/>
        </w:rPr>
      </w:pPr>
      <w:bookmarkStart w:id="0" w:name="_ENACTING_CLAUSE__4ff89a12_975b_4fb4_83f"/>
      <w:bookmarkStart w:id="1" w:name="_DOC_BODY__a49cc6df_9be8_448e_8ca4_71633"/>
      <w:bookmarkStart w:id="2" w:name="_DOC_BODY_CONTAINER__ff4ea15d_504a_4380_"/>
      <w:bookmarkStart w:id="3" w:name="_PAGE__1_e47b5bbe_bbf8_4404_b47b_6e19487"/>
      <w:bookmarkStart w:id="4" w:name="_PAR__1_a88783da_70b6_4d87_b12f_d6ec610b"/>
      <w:bookmarkStart w:id="5" w:name="_LINE__1_70b845f9_65b3_492c_9498_359956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45E4E" w:rsidP="00B45E4E">
      <w:pPr>
        <w:ind w:left="360" w:firstLine="360"/>
        <w:rPr>
          <w:rFonts w:ascii="Arial" w:eastAsia="Arial" w:hAnsi="Arial" w:cs="Arial"/>
        </w:rPr>
      </w:pPr>
      <w:bookmarkStart w:id="6" w:name="_BILL_SECTION_HEADER__588d763a_06a0_43a2"/>
      <w:bookmarkStart w:id="7" w:name="_BILL_SECTION__95d1b2b9_bbb4_403f_a2fa_7"/>
      <w:bookmarkStart w:id="8" w:name="_DOC_BODY_CONTENT__56c6765a_7bb9_43b7_95"/>
      <w:bookmarkStart w:id="9" w:name="_PAR__2_8b91c82a_0480_484c_97d9_76e37348"/>
      <w:bookmarkStart w:id="10" w:name="_LINE__2_aa431088_b970_4155_b2d3_11c9c5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3c45fa0_ee84_404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4 MRSA §183, sub-§1, ¶D,</w:t>
      </w:r>
      <w:r>
        <w:rPr>
          <w:rFonts w:ascii="Arial" w:eastAsia="Arial" w:hAnsi="Arial" w:cs="Arial"/>
        </w:rPr>
        <w:t xml:space="preserve"> </w:t>
      </w:r>
      <w:r w:rsidRPr="0018429C">
        <w:rPr>
          <w:rFonts w:ascii="Arial" w:eastAsia="Arial" w:hAnsi="Arial" w:cs="Arial"/>
        </w:rPr>
        <w:t xml:space="preserve">as amended by PL 2021, c. 647, Pt. B, §1 and </w:t>
      </w:r>
      <w:bookmarkStart w:id="12" w:name="_LINE__3_feedf880_84b4_4d51_9f09_5f9f20c"/>
      <w:bookmarkEnd w:id="10"/>
      <w:r w:rsidRPr="0018429C">
        <w:rPr>
          <w:rFonts w:ascii="Arial" w:eastAsia="Arial" w:hAnsi="Arial" w:cs="Arial"/>
        </w:rPr>
        <w:t>affected by §65 and amended by c. 723, §6,</w:t>
      </w:r>
      <w:r>
        <w:rPr>
          <w:rFonts w:ascii="Arial" w:eastAsia="Arial" w:hAnsi="Arial" w:cs="Arial"/>
        </w:rPr>
        <w:t xml:space="preserve"> is further amended by amending subparagraph </w:t>
      </w:r>
      <w:bookmarkStart w:id="13" w:name="_LINE__4_68bb7e17_fd86_4c36_a58b_13fcb21"/>
      <w:bookmarkEnd w:id="12"/>
      <w:r>
        <w:rPr>
          <w:rFonts w:ascii="Arial" w:eastAsia="Arial" w:hAnsi="Arial" w:cs="Arial"/>
        </w:rPr>
        <w:t>(4-B) to read:</w:t>
      </w:r>
      <w:bookmarkEnd w:id="13"/>
    </w:p>
    <w:p w:rsidR="00B45E4E" w:rsidP="00B45E4E">
      <w:pPr>
        <w:ind w:left="1080"/>
        <w:rPr>
          <w:rFonts w:ascii="Arial" w:eastAsia="Arial" w:hAnsi="Arial" w:cs="Arial"/>
        </w:rPr>
      </w:pPr>
      <w:bookmarkStart w:id="14" w:name="_STATUTE_SP__a5e33a42_5a0f_446e_a140_fd2"/>
      <w:bookmarkStart w:id="15" w:name="_PAR__3_195ff113_8336_484e_b7e2_d0c50173"/>
      <w:bookmarkStart w:id="16" w:name="_LINE__5_fc210082_2601_4381_997e_8ff66c6"/>
      <w:bookmarkEnd w:id="6"/>
      <w:bookmarkEnd w:id="9"/>
      <w:r>
        <w:rPr>
          <w:rFonts w:ascii="Arial" w:eastAsia="Arial" w:hAnsi="Arial" w:cs="Arial"/>
        </w:rPr>
        <w:t>(</w:t>
      </w:r>
      <w:bookmarkStart w:id="17" w:name="_STATUTE_NUMBER__6711664b_8e5a_437f_ae10"/>
      <w:r>
        <w:rPr>
          <w:rFonts w:ascii="Arial" w:eastAsia="Arial" w:hAnsi="Arial" w:cs="Arial"/>
        </w:rPr>
        <w:t>4-B</w:t>
      </w:r>
      <w:bookmarkEnd w:id="17"/>
      <w:r>
        <w:rPr>
          <w:rFonts w:ascii="Arial" w:eastAsia="Arial" w:hAnsi="Arial" w:cs="Arial"/>
        </w:rPr>
        <w:t xml:space="preserve">)  </w:t>
      </w:r>
      <w:bookmarkStart w:id="18" w:name="_STATUTE_CONTENT__1b12fd5c_76b5_428e_a9b"/>
      <w:r>
        <w:rPr>
          <w:rFonts w:ascii="Arial" w:eastAsia="Arial" w:hAnsi="Arial" w:cs="Arial"/>
        </w:rPr>
        <w:t xml:space="preserve">Requests for access to confidential Department of Health and Human </w:t>
      </w:r>
      <w:bookmarkStart w:id="19" w:name="_LINE__6_ba64e4b0_4879_4e2a_b78d_28a680e"/>
      <w:bookmarkEnd w:id="16"/>
      <w:r>
        <w:rPr>
          <w:rFonts w:ascii="Arial" w:eastAsia="Arial" w:hAnsi="Arial" w:cs="Arial"/>
        </w:rPr>
        <w:t xml:space="preserve">Services child protective records in accordance with </w:t>
      </w:r>
      <w:bookmarkStart w:id="20" w:name="_CROSS_REFERENCE__3c0b55ae_80b8_4122_a9d"/>
      <w:r>
        <w:rPr>
          <w:rFonts w:ascii="Arial" w:eastAsia="Arial" w:hAnsi="Arial" w:cs="Arial"/>
        </w:rPr>
        <w:t>Title 22, section 4008</w:t>
      </w:r>
      <w:bookmarkEnd w:id="20"/>
      <w:r>
        <w:rPr>
          <w:rFonts w:ascii="Arial" w:eastAsia="Arial" w:hAnsi="Arial" w:cs="Arial"/>
        </w:rPr>
        <w:t xml:space="preserve">.  The </w:t>
      </w:r>
      <w:bookmarkStart w:id="21" w:name="_LINE__7_9b5ab1c5_e734_47db_aa4e_5ea4d53"/>
      <w:bookmarkEnd w:id="19"/>
      <w:r>
        <w:rPr>
          <w:rFonts w:ascii="Arial" w:eastAsia="Arial" w:hAnsi="Arial" w:cs="Arial"/>
        </w:rPr>
        <w:t xml:space="preserve">family law magistrate may review records in camera to determine whether to grant </w:t>
      </w:r>
      <w:bookmarkStart w:id="22" w:name="_LINE__8_49ca94ac_86db_4729_9026_e1ae4a9"/>
      <w:bookmarkEnd w:id="21"/>
      <w:r>
        <w:rPr>
          <w:rFonts w:ascii="Arial" w:eastAsia="Arial" w:hAnsi="Arial" w:cs="Arial"/>
        </w:rPr>
        <w:t xml:space="preserve">access; </w:t>
      </w:r>
      <w:bookmarkStart w:id="23" w:name="_PROCESSED_CHANGE__efc37fc5_f573_4926_86"/>
      <w:r>
        <w:rPr>
          <w:rFonts w:ascii="Arial" w:eastAsia="Arial" w:hAnsi="Arial" w:cs="Arial"/>
          <w:strike/>
        </w:rPr>
        <w:t>and</w:t>
      </w:r>
      <w:bookmarkEnd w:id="18"/>
      <w:bookmarkEnd w:id="22"/>
      <w:bookmarkEnd w:id="23"/>
    </w:p>
    <w:p w:rsidR="00B45E4E" w:rsidP="00B45E4E">
      <w:pPr>
        <w:ind w:left="360" w:firstLine="360"/>
        <w:rPr>
          <w:rFonts w:ascii="Arial" w:eastAsia="Arial" w:hAnsi="Arial" w:cs="Arial"/>
        </w:rPr>
      </w:pPr>
      <w:bookmarkStart w:id="24" w:name="_BILL_SECTION_HEADER__a230b9f8_8b58_4486"/>
      <w:bookmarkStart w:id="25" w:name="_BILL_SECTION__c55ec3bf_4458_4526_985a_9"/>
      <w:bookmarkStart w:id="26" w:name="_PAR__4_5cd667c7_edb5_4f45_adba_670b605f"/>
      <w:bookmarkStart w:id="27" w:name="_LINE__9_1c6d9d34_b1ca_4e13_9812_2e2098a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990f7955_5e4b_4812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4 MRSA §183, sub-§1, ¶D</w:t>
      </w:r>
      <w:r>
        <w:rPr>
          <w:rFonts w:ascii="Arial" w:eastAsia="Arial" w:hAnsi="Arial" w:cs="Arial"/>
          <w:b/>
          <w:sz w:val="24"/>
        </w:rPr>
        <w:t>,</w:t>
      </w:r>
      <w:r>
        <w:rPr>
          <w:rFonts w:ascii="Arial" w:eastAsia="Arial" w:hAnsi="Arial" w:cs="Arial"/>
        </w:rPr>
        <w:t xml:space="preserve"> </w:t>
      </w:r>
      <w:r w:rsidRPr="0018429C">
        <w:rPr>
          <w:rFonts w:ascii="Arial" w:eastAsia="Arial" w:hAnsi="Arial" w:cs="Arial"/>
        </w:rPr>
        <w:t xml:space="preserve">as amended by PL 2021, c. 647, Pt. B, §1 and </w:t>
      </w:r>
      <w:bookmarkStart w:id="29" w:name="_LINE__10_12ce114f_88dd_4b7a_b2a8_156268"/>
      <w:bookmarkEnd w:id="27"/>
      <w:r w:rsidRPr="0018429C">
        <w:rPr>
          <w:rFonts w:ascii="Arial" w:eastAsia="Arial" w:hAnsi="Arial" w:cs="Arial"/>
        </w:rPr>
        <w:t>affected by §65 and amended by c. 723, §6,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is </w:t>
      </w:r>
      <w:r>
        <w:rPr>
          <w:rFonts w:ascii="Arial" w:eastAsia="Arial" w:hAnsi="Arial" w:cs="Arial"/>
        </w:rPr>
        <w:t xml:space="preserve">further </w:t>
      </w:r>
      <w:r>
        <w:rPr>
          <w:rFonts w:ascii="Arial" w:eastAsia="Arial" w:hAnsi="Arial" w:cs="Arial"/>
        </w:rPr>
        <w:t xml:space="preserve">amended by enacting a new </w:t>
      </w:r>
      <w:bookmarkStart w:id="30" w:name="_LINE__11_10fa3d52_a850_4909_babf_f48a43"/>
      <w:bookmarkEnd w:id="29"/>
      <w:r>
        <w:rPr>
          <w:rFonts w:ascii="Arial" w:eastAsia="Arial" w:hAnsi="Arial" w:cs="Arial"/>
        </w:rPr>
        <w:t>subparagraph (4-C) to read:</w:t>
      </w:r>
      <w:bookmarkEnd w:id="30"/>
    </w:p>
    <w:p w:rsidR="00B45E4E" w:rsidP="00B45E4E">
      <w:pPr>
        <w:ind w:left="1080"/>
        <w:rPr>
          <w:rFonts w:ascii="Arial" w:eastAsia="Arial" w:hAnsi="Arial" w:cs="Arial"/>
        </w:rPr>
      </w:pPr>
      <w:bookmarkStart w:id="31" w:name="_STATUTE_SP__6905868b_2770_46fe_b45a_d75"/>
      <w:bookmarkStart w:id="32" w:name="_PAR__5_db77b395_c877_485b_8c0c_db9d791d"/>
      <w:bookmarkStart w:id="33" w:name="_LINE__12_221639e1_f8ed_473f_9787_64bfc6"/>
      <w:bookmarkStart w:id="34" w:name="_PROCESSED_CHANGE__98751e55_b7b1_4dfd_a3"/>
      <w:bookmarkEnd w:id="24"/>
      <w:bookmarkEnd w:id="26"/>
      <w:r>
        <w:rPr>
          <w:rFonts w:ascii="Arial" w:eastAsia="Arial" w:hAnsi="Arial" w:cs="Arial"/>
          <w:u w:val="single"/>
        </w:rPr>
        <w:t>(</w:t>
      </w:r>
      <w:bookmarkStart w:id="35" w:name="_STATUTE_NUMBER__022250ad_1d5a_4bd5_af84"/>
      <w:r>
        <w:rPr>
          <w:rFonts w:ascii="Arial" w:eastAsia="Arial" w:hAnsi="Arial" w:cs="Arial"/>
          <w:u w:val="single"/>
        </w:rPr>
        <w:t>4-C</w:t>
      </w:r>
      <w:bookmarkEnd w:id="35"/>
      <w:r>
        <w:rPr>
          <w:rFonts w:ascii="Arial" w:eastAsia="Arial" w:hAnsi="Arial" w:cs="Arial"/>
          <w:u w:val="single"/>
        </w:rPr>
        <w:t xml:space="preserve">)  </w:t>
      </w:r>
      <w:bookmarkStart w:id="36" w:name="_STATUTE_CONTENT__d6994a65_558b_4036_81a"/>
      <w:r>
        <w:rPr>
          <w:rFonts w:ascii="Arial" w:eastAsia="Arial" w:hAnsi="Arial" w:cs="Arial"/>
          <w:u w:val="single"/>
        </w:rPr>
        <w:t xml:space="preserve">Except for final prehearing conferences, all pretrial and interim elements of </w:t>
      </w:r>
      <w:bookmarkStart w:id="37" w:name="_LINE__13_02fef420_ddd2_41e8_abe5_0f9e41"/>
      <w:bookmarkEnd w:id="33"/>
      <w:r>
        <w:rPr>
          <w:rFonts w:ascii="Arial" w:eastAsia="Arial" w:hAnsi="Arial" w:cs="Arial"/>
          <w:u w:val="single"/>
        </w:rPr>
        <w:t xml:space="preserve">a child protection proceeding brought under Title 22, chapter 1071, including child </w:t>
      </w:r>
      <w:bookmarkStart w:id="38" w:name="_LINE__14_a2d54864_308e_4070_b901_8241c4"/>
      <w:bookmarkEnd w:id="37"/>
      <w:r>
        <w:rPr>
          <w:rFonts w:ascii="Arial" w:eastAsia="Arial" w:hAnsi="Arial" w:cs="Arial"/>
          <w:u w:val="single"/>
        </w:rPr>
        <w:t>protection proceedings consolidated in an action brought under Title 19-A; and</w:t>
      </w:r>
      <w:bookmarkEnd w:id="38"/>
    </w:p>
    <w:p w:rsidR="00B45E4E" w:rsidP="00B45E4E">
      <w:pPr>
        <w:ind w:left="360" w:firstLine="360"/>
        <w:rPr>
          <w:rFonts w:ascii="Arial" w:eastAsia="Arial" w:hAnsi="Arial" w:cs="Arial"/>
        </w:rPr>
      </w:pPr>
      <w:bookmarkStart w:id="39" w:name="_BILL_SECTION_UNALLOCATED__be9daefe_4eef"/>
      <w:bookmarkStart w:id="40" w:name="_PAR__6_2845e33e_3566_4015_979c_5624b993"/>
      <w:bookmarkStart w:id="41" w:name="_LINE__15_cbfc0bc9_19fb_4737_86ab_548b7b"/>
      <w:bookmarkEnd w:id="25"/>
      <w:bookmarkEnd w:id="31"/>
      <w:bookmarkEnd w:id="32"/>
      <w:bookmarkEnd w:id="34"/>
      <w:bookmarkEnd w:id="36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7ecac98a_7b0f_4441"/>
      <w:r>
        <w:rPr>
          <w:rFonts w:ascii="Arial" w:eastAsia="Arial" w:hAnsi="Arial" w:cs="Arial"/>
          <w:b/>
          <w:sz w:val="24"/>
        </w:rPr>
        <w:t>3</w:t>
      </w:r>
      <w:bookmarkEnd w:id="4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8429C">
        <w:rPr>
          <w:rFonts w:ascii="Arial" w:eastAsia="Arial" w:hAnsi="Arial" w:cs="Arial"/>
          <w:b/>
          <w:sz w:val="24"/>
          <w:szCs w:val="24"/>
        </w:rPr>
        <w:t>Additional magistrates.</w:t>
      </w:r>
      <w:r>
        <w:rPr>
          <w:rFonts w:ascii="Arial" w:eastAsia="Arial" w:hAnsi="Arial" w:cs="Arial"/>
        </w:rPr>
        <w:t xml:space="preserve">  No later than August 1, 2025, the Chief Judge of </w:t>
      </w:r>
      <w:bookmarkStart w:id="43" w:name="_LINE__16_7796640d_9e69_4119_9a29_7e8d32"/>
      <w:bookmarkEnd w:id="41"/>
      <w:r>
        <w:rPr>
          <w:rFonts w:ascii="Arial" w:eastAsia="Arial" w:hAnsi="Arial" w:cs="Arial"/>
        </w:rPr>
        <w:t xml:space="preserve">the District Court shall employ 24 family law magistrates and the State Court Administrator </w:t>
      </w:r>
      <w:bookmarkStart w:id="44" w:name="_LINE__17_ac9210b5_d7b7_47fa_abaa_8be396"/>
      <w:bookmarkEnd w:id="43"/>
      <w:r>
        <w:rPr>
          <w:rFonts w:ascii="Arial" w:eastAsia="Arial" w:hAnsi="Arial" w:cs="Arial"/>
        </w:rPr>
        <w:t>shall provide necessary staff for 24 family law magistrates.</w:t>
      </w:r>
      <w:bookmarkEnd w:id="44"/>
    </w:p>
    <w:p w:rsidR="00B45E4E" w:rsidP="00B45E4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5" w:name="_SUMMARY__e07c3df0_8a8d_4d2e_b17c_bfb409"/>
      <w:bookmarkStart w:id="46" w:name="_PAR__7_4486d206_895c_402b_a69f_647da03a"/>
      <w:bookmarkStart w:id="47" w:name="_LINE__18_b60863b4_0527_4798_a08d_c4c83b"/>
      <w:bookmarkEnd w:id="8"/>
      <w:bookmarkEnd w:id="39"/>
      <w:bookmarkEnd w:id="40"/>
      <w:r>
        <w:rPr>
          <w:rFonts w:ascii="Arial" w:eastAsia="Arial" w:hAnsi="Arial" w:cs="Arial"/>
          <w:b/>
          <w:sz w:val="24"/>
        </w:rPr>
        <w:t>SUMMARY</w:t>
      </w:r>
      <w:bookmarkEnd w:id="47"/>
    </w:p>
    <w:p w:rsidR="00B45E4E" w:rsidP="00B45E4E">
      <w:pPr>
        <w:ind w:left="360" w:firstLine="360"/>
        <w:rPr>
          <w:rFonts w:ascii="Arial" w:eastAsia="Arial" w:hAnsi="Arial" w:cs="Arial"/>
        </w:rPr>
      </w:pPr>
      <w:bookmarkStart w:id="48" w:name="_Hlk125469060"/>
      <w:bookmarkStart w:id="49" w:name="_PAR__8_37f59246_14c9_4189_a37b_0dc4c79e"/>
      <w:bookmarkStart w:id="50" w:name="_LINE__19_67e9eb17_2475_4df9_98aa_8d8f53"/>
      <w:bookmarkEnd w:id="46"/>
      <w:r w:rsidRPr="0018429C">
        <w:rPr>
          <w:rFonts w:ascii="Arial" w:eastAsia="Arial" w:hAnsi="Arial" w:cs="Arial"/>
        </w:rPr>
        <w:t xml:space="preserve">This bill increases the number of family law magistrates to 24 by August 1, 2025 and </w:t>
      </w:r>
      <w:bookmarkStart w:id="51" w:name="_LINE__20_df506b67_f752_48f5_b415_158968"/>
      <w:bookmarkEnd w:id="50"/>
      <w:r w:rsidRPr="0018429C">
        <w:rPr>
          <w:rFonts w:ascii="Arial" w:eastAsia="Arial" w:hAnsi="Arial" w:cs="Arial"/>
        </w:rPr>
        <w:t xml:space="preserve">increases related staff.  It authorizes family law magistrates to hear and dispose of all </w:t>
      </w:r>
      <w:bookmarkStart w:id="52" w:name="_LINE__21_e8f7bd74_1f12_4979_8df2_3876e9"/>
      <w:bookmarkEnd w:id="51"/>
      <w:r w:rsidRPr="0018429C">
        <w:rPr>
          <w:rFonts w:ascii="Arial" w:eastAsia="Arial" w:hAnsi="Arial" w:cs="Arial"/>
        </w:rPr>
        <w:t xml:space="preserve">pretrial and interim elements of child protection proceedings, except for final prehearing </w:t>
      </w:r>
      <w:bookmarkStart w:id="53" w:name="_LINE__22_e5ff4335_0c69_4743_8de1_ad4301"/>
      <w:bookmarkEnd w:id="52"/>
      <w:r w:rsidRPr="0018429C">
        <w:rPr>
          <w:rFonts w:ascii="Arial" w:eastAsia="Arial" w:hAnsi="Arial" w:cs="Arial"/>
        </w:rPr>
        <w:t>conferences.</w:t>
      </w:r>
      <w:bookmarkEnd w:id="53"/>
    </w:p>
    <w:bookmarkEnd w:id="1"/>
    <w:bookmarkEnd w:id="2"/>
    <w:bookmarkEnd w:id="3"/>
    <w:bookmarkEnd w:id="45"/>
    <w:bookmarkEnd w:id="48"/>
    <w:bookmarkEnd w:id="4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LR0594,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the Child and Family Court Process by Increasing the Number and Duties of Family Law Magistrates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8429C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E4E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135999</ItemId>
    <LRId>70365</LRId>
    <LRNumber>594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the Child and Family Court Process by Increasing the Number and Duties of Family Law Magistrates</LRTitle>
    <ItemTitle>An Act to Improve the Child and Family Court Process by Increasing the Number and Duties of Family Law Magistrates</ItemTitle>
    <ShortTitle1>IMPROVE THE CHILD AND FAMILY</ShortTitle1>
    <ShortTitle2>COURT PROCESS BY INCREASING</ShortTitle2>
    <SponsorFirstName>Joseph</SponsorFirstName>
    <SponsorLastName>Baldacci</SponsorLastName>
    <SponsorChamberPrefix>Sen.</SponsorChamberPrefix>
    <SponsorFrom>Penobscot</SponsorFrom>
    <DraftingCycleCount>1</DraftingCycleCount>
    <LatestDraftingActionId>130</LatestDraftingActionId>
    <LatestDraftingActionDate>2023-01-30T09:51:07</LatestDraftingActionDate>
    <LatestDrafterName>sbergendahl</LatestDrafterName>
    <LatestProoferName>sadley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w:rsidR="00B45E4E" w:rsidRDefault="00B45E4E" w:rsidP="00B45E4E"&amp;gt;&amp;lt;w:pPr&amp;gt;&amp;lt;w:ind w:left="360" /&amp;gt;&amp;lt;/w:pPr&amp;gt;&amp;lt;w:bookmarkStart w:id="0" w:name="_ENACTING_CLAUSE__4ff89a12_975b_4fb4_83f" /&amp;gt;&amp;lt;w:bookmarkStart w:id="1" w:name="_DOC_BODY__a49cc6df_9be8_448e_8ca4_71633" /&amp;gt;&amp;lt;w:bookmarkStart w:id="2" w:name="_DOC_BODY_CONTAINER__ff4ea15d_504a_4380_" /&amp;gt;&amp;lt;w:bookmarkStart w:id="3" w:name="_PAGE__1_e47b5bbe_bbf8_4404_b47b_6e19487" /&amp;gt;&amp;lt;w:bookmarkStart w:id="4" w:name="_PAR__1_a88783da_70b6_4d87_b12f_d6ec610b" /&amp;gt;&amp;lt;w:bookmarkStart w:id="5" w:name="_LINE__1_70b845f9_65b3_492c_9498_359956c"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w:rsidR="00B45E4E" w:rsidRDefault="00B45E4E" w:rsidP="00B45E4E"&amp;gt;&amp;lt;w:pPr&amp;gt;&amp;lt;w:ind w:left="360" w:firstLine="360" /&amp;gt;&amp;lt;/w:pPr&amp;gt;&amp;lt;w:bookmarkStart w:id="6" w:name="_BILL_SECTION_HEADER__588d763a_06a0_43a2" /&amp;gt;&amp;lt;w:bookmarkStart w:id="7" w:name="_BILL_SECTION__95d1b2b9_bbb4_403f_a2fa_7" /&amp;gt;&amp;lt;w:bookmarkStart w:id="8" w:name="_DOC_BODY_CONTENT__56c6765a_7bb9_43b7_95" /&amp;gt;&amp;lt;w:bookmarkStart w:id="9" w:name="_PAR__2_8b91c82a_0480_484c_97d9_76e37348" /&amp;gt;&amp;lt;w:bookmarkStart w:id="10" w:name="_LINE__2_aa431088_b970_4155_b2d3_11c9c51"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w:name="_BILL_SECTION_NUMBER__43c45fa0_ee84_4041"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4 MRSA §183, sub-§1, ¶D,&amp;lt;/w:t&amp;gt;&amp;lt;/w:r&amp;gt;&amp;lt;w:r&amp;gt;&amp;lt;w:t xml:space="preserve"&amp;gt; &amp;lt;/w:t&amp;gt;&amp;lt;/w:r&amp;gt;&amp;lt;w:r w:rsidRPr="0018429C"&amp;gt;&amp;lt;w:t xml:space="preserve"&amp;gt;as amended by PL 2021, c. 647, Pt. B, §1 and &amp;lt;/w:t&amp;gt;&amp;lt;/w:r&amp;gt;&amp;lt;w:bookmarkStart w:id="12" w:name="_LINE__3_feedf880_84b4_4d51_9f09_5f9f20c" /&amp;gt;&amp;lt;w:bookmarkEnd w:id="10" /&amp;gt;&amp;lt;w:r w:rsidRPr="0018429C"&amp;gt;&amp;lt;w:t&amp;gt;affected by §65 and amended by c. 723, §6,&amp;lt;/w:t&amp;gt;&amp;lt;/w:r&amp;gt;&amp;lt;w:r&amp;gt;&amp;lt;w:t xml:space="preserve"&amp;gt; is further amended by amending subparagraph &amp;lt;/w:t&amp;gt;&amp;lt;/w:r&amp;gt;&amp;lt;w:bookmarkStart w:id="13" w:name="_LINE__4_68bb7e17_fd86_4c36_a58b_13fcb21" /&amp;gt;&amp;lt;w:bookmarkEnd w:id="12" /&amp;gt;&amp;lt;w:r&amp;gt;&amp;lt;w:t&amp;gt;(4-B) to read:&amp;lt;/w:t&amp;gt;&amp;lt;/w:r&amp;gt;&amp;lt;w:bookmarkEnd w:id="13" /&amp;gt;&amp;lt;/w:p&amp;gt;&amp;lt;w:p w:rsidR="00B45E4E" w:rsidRDefault="00B45E4E" w:rsidP="00B45E4E"&amp;gt;&amp;lt;w:pPr&amp;gt;&amp;lt;w:ind w:left="1080" /&amp;gt;&amp;lt;/w:pPr&amp;gt;&amp;lt;w:bookmarkStart w:id="14" w:name="_STATUTE_SP__a5e33a42_5a0f_446e_a140_fd2" /&amp;gt;&amp;lt;w:bookmarkStart w:id="15" w:name="_PAR__3_195ff113_8336_484e_b7e2_d0c50173" /&amp;gt;&amp;lt;w:bookmarkStart w:id="16" w:name="_LINE__5_fc210082_2601_4381_997e_8ff66c6" /&amp;gt;&amp;lt;w:bookmarkEnd w:id="6" /&amp;gt;&amp;lt;w:bookmarkEnd w:id="9" /&amp;gt;&amp;lt;w:r&amp;gt;&amp;lt;w:t&amp;gt;(&amp;lt;/w:t&amp;gt;&amp;lt;/w:r&amp;gt;&amp;lt;w:bookmarkStart w:id="17" w:name="_STATUTE_NUMBER__6711664b_8e5a_437f_ae10" /&amp;gt;&amp;lt;w:r&amp;gt;&amp;lt;w:t&amp;gt;4-B&amp;lt;/w:t&amp;gt;&amp;lt;/w:r&amp;gt;&amp;lt;w:bookmarkEnd w:id="17" /&amp;gt;&amp;lt;w:r&amp;gt;&amp;lt;w:t xml:space="preserve"&amp;gt;)  &amp;lt;/w:t&amp;gt;&amp;lt;/w:r&amp;gt;&amp;lt;w:bookmarkStart w:id="18" w:name="_STATUTE_CONTENT__1b12fd5c_76b5_428e_a9b" /&amp;gt;&amp;lt;w:r&amp;gt;&amp;lt;w:t xml:space="preserve"&amp;gt;Requests for access to confidential Department of Health and Human &amp;lt;/w:t&amp;gt;&amp;lt;/w:r&amp;gt;&amp;lt;w:bookmarkStart w:id="19" w:name="_LINE__6_ba64e4b0_4879_4e2a_b78d_28a680e" /&amp;gt;&amp;lt;w:bookmarkEnd w:id="16" /&amp;gt;&amp;lt;w:r&amp;gt;&amp;lt;w:t xml:space="preserve"&amp;gt;Services child protective records in accordance with &amp;lt;/w:t&amp;gt;&amp;lt;/w:r&amp;gt;&amp;lt;w:bookmarkStart w:id="20" w:name="_CROSS_REFERENCE__3c0b55ae_80b8_4122_a9d" /&amp;gt;&amp;lt;w:r&amp;gt;&amp;lt;w:t&amp;gt;Title 22, section 4008&amp;lt;/w:t&amp;gt;&amp;lt;/w:r&amp;gt;&amp;lt;w:bookmarkEnd w:id="20" /&amp;gt;&amp;lt;w:r&amp;gt;&amp;lt;w:t xml:space="preserve"&amp;gt;.  The &amp;lt;/w:t&amp;gt;&amp;lt;/w:r&amp;gt;&amp;lt;w:bookmarkStart w:id="21" w:name="_LINE__7_9b5ab1c5_e734_47db_aa4e_5ea4d53" /&amp;gt;&amp;lt;w:bookmarkEnd w:id="19" /&amp;gt;&amp;lt;w:r&amp;gt;&amp;lt;w:t xml:space="preserve"&amp;gt;family law magistrate may review records in camera to determine whether to grant &amp;lt;/w:t&amp;gt;&amp;lt;/w:r&amp;gt;&amp;lt;w:bookmarkStart w:id="22" w:name="_LINE__8_49ca94ac_86db_4729_9026_e1ae4a9" /&amp;gt;&amp;lt;w:bookmarkEnd w:id="21" /&amp;gt;&amp;lt;w:r&amp;gt;&amp;lt;w:t xml:space="preserve"&amp;gt;access; &amp;lt;/w:t&amp;gt;&amp;lt;/w:r&amp;gt;&amp;lt;w:bookmarkStart w:id="23" w:name="_PROCESSED_CHANGE__efc37fc5_f573_4926_86" /&amp;gt;&amp;lt;w:del w:id="24" w:author="BPS" w:date="2023-01-24T15:58:00Z"&amp;gt;&amp;lt;w:r w:rsidDel="0018429C"&amp;gt;&amp;lt;w:delText&amp;gt;and&amp;lt;/w:delText&amp;gt;&amp;lt;/w:r&amp;gt;&amp;lt;/w:del&amp;gt;&amp;lt;w:bookmarkEnd w:id="18" /&amp;gt;&amp;lt;w:bookmarkEnd w:id="22" /&amp;gt;&amp;lt;w:bookmarkEnd w:id="23" /&amp;gt;&amp;lt;/w:p&amp;gt;&amp;lt;w:p w:rsidR="00B45E4E" w:rsidRDefault="00B45E4E" w:rsidP="00B45E4E"&amp;gt;&amp;lt;w:pPr&amp;gt;&amp;lt;w:ind w:left="360" w:firstLine="360" /&amp;gt;&amp;lt;/w:pPr&amp;gt;&amp;lt;w:bookmarkStart w:id="25" w:name="_BILL_SECTION_HEADER__a230b9f8_8b58_4486" /&amp;gt;&amp;lt;w:bookmarkStart w:id="26" w:name="_BILL_SECTION__c55ec3bf_4458_4526_985a_9" /&amp;gt;&amp;lt;w:bookmarkStart w:id="27" w:name="_PAR__4_5cd667c7_edb5_4f45_adba_670b605f" /&amp;gt;&amp;lt;w:bookmarkStart w:id="28" w:name="_LINE__9_1c6d9d34_b1ca_4e13_9812_2e2098a"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w:id="29" w:name="_BILL_SECTION_NUMBER__990f7955_5e4b_4812"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/&amp;gt;&amp;lt;/w:rPr&amp;gt;&amp;lt;w:t&amp;gt;.  4 MRSA §183, sub-§1, ¶D&amp;lt;/w:t&amp;gt;&amp;lt;/w:r&amp;gt;&amp;lt;w:r&amp;gt;&amp;lt;w:rPr&amp;gt;&amp;lt;w:b /&amp;gt;&amp;lt;w:sz w:val="24" /&amp;gt;&amp;lt;/w:rPr&amp;gt;&amp;lt;w:t&amp;gt;,&amp;lt;/w:t&amp;gt;&amp;lt;/w:r&amp;gt;&amp;lt;w:r&amp;gt;&amp;lt;w:t xml:space="preserve"&amp;gt; &amp;lt;/w:t&amp;gt;&amp;lt;/w:r&amp;gt;&amp;lt;w:r w:rsidRPr="0018429C"&amp;gt;&amp;lt;w:t xml:space="preserve"&amp;gt;as amended by PL 2021, c. 647, Pt. B, §1 and &amp;lt;/w:t&amp;gt;&amp;lt;/w:r&amp;gt;&amp;lt;w:bookmarkStart w:id="30" w:name="_LINE__10_12ce114f_88dd_4b7a_b2a8_156268" /&amp;gt;&amp;lt;w:bookmarkEnd w:id="28" /&amp;gt;&amp;lt;w:r w:rsidRPr="0018429C"&amp;gt;&amp;lt;w:t&amp;gt;affected by §65 and amended by c. 723, §6,&amp;lt;/w:t&amp;gt;&amp;lt;/w:r&amp;gt;&amp;lt;w:r&amp;gt;&amp;lt;w:t xml:space="preserve"&amp;gt; &amp;lt;/w:t&amp;gt;&amp;lt;/w:r&amp;gt;&amp;lt;w:r&amp;gt;&amp;lt;w:t xml:space="preserve"&amp;gt;is &amp;lt;/w:t&amp;gt;&amp;lt;/w:r&amp;gt;&amp;lt;w:r&amp;gt;&amp;lt;w:t xml:space="preserve"&amp;gt;further &amp;lt;/w:t&amp;gt;&amp;lt;/w:r&amp;gt;&amp;lt;w:r&amp;gt;&amp;lt;w:t xml:space="preserve"&amp;gt;amended by enacting a new &amp;lt;/w:t&amp;gt;&amp;lt;/w:r&amp;gt;&amp;lt;w:bookmarkStart w:id="31" w:name="_LINE__11_10fa3d52_a850_4909_babf_f48a43" /&amp;gt;&amp;lt;w:bookmarkEnd w:id="30" /&amp;gt;&amp;lt;w:r&amp;gt;&amp;lt;w:t&amp;gt;subparagraph (4-C) to read:&amp;lt;/w:t&amp;gt;&amp;lt;/w:r&amp;gt;&amp;lt;w:bookmarkEnd w:id="31" /&amp;gt;&amp;lt;/w:p&amp;gt;&amp;lt;w:p w:rsidR="00B45E4E" w:rsidRDefault="00B45E4E" w:rsidP="00B45E4E"&amp;gt;&amp;lt;w:pPr&amp;gt;&amp;lt;w:ind w:left="1080" /&amp;gt;&amp;lt;/w:pPr&amp;gt;&amp;lt;w:bookmarkStart w:id="32" w:name="_STATUTE_SP__6905868b_2770_46fe_b45a_d75" /&amp;gt;&amp;lt;w:bookmarkStart w:id="33" w:name="_PAR__5_db77b395_c877_485b_8c0c_db9d791d" /&amp;gt;&amp;lt;w:bookmarkStart w:id="34" w:name="_LINE__12_221639e1_f8ed_473f_9787_64bfc6" /&amp;gt;&amp;lt;w:bookmarkStart w:id="35" w:name="_PROCESSED_CHANGE__98751e55_b7b1_4dfd_a3" /&amp;gt;&amp;lt;w:bookmarkEnd w:id="25" /&amp;gt;&amp;lt;w:bookmarkEnd w:id="27" /&amp;gt;&amp;lt;w:ins w:id="36" w:author="BPS" w:date="2023-01-24T15:56:00Z"&amp;gt;&amp;lt;w:r&amp;gt;&amp;lt;w:t&amp;gt;(&amp;lt;/w:t&amp;gt;&amp;lt;/w:r&amp;gt;&amp;lt;w:bookmarkStart w:id="37" w:name="_STATUTE_NUMBER__022250ad_1d5a_4bd5_af84" /&amp;gt;&amp;lt;w:r&amp;gt;&amp;lt;w:t&amp;gt;4-C&amp;lt;/w:t&amp;gt;&amp;lt;/w:r&amp;gt;&amp;lt;w:bookmarkEnd w:id="37" /&amp;gt;&amp;lt;w:r&amp;gt;&amp;lt;w:t xml:space="preserve"&amp;gt;)  &amp;lt;/w:t&amp;gt;&amp;lt;/w:r&amp;gt;&amp;lt;w:bookmarkStart w:id="38" w:name="_STATUTE_CONTENT__d6994a65_558b_4036_81a" /&amp;gt;&amp;lt;w:r w:rsidRPr="0018429C"&amp;gt;&amp;lt;w:t xml:space="preserve"&amp;gt;Except for final prehearing conferences, all pretrial and interim elements of &amp;lt;/w:t&amp;gt;&amp;lt;/w:r&amp;gt;&amp;lt;w:bookmarkStart w:id="39" w:name="_LINE__13_02fef420_ddd2_41e8_abe5_0f9e41" /&amp;gt;&amp;lt;w:bookmarkEnd w:id="34" /&amp;gt;&amp;lt;w:r w:rsidRPr="0018429C"&amp;gt;&amp;lt;w:t xml:space="preserve"&amp;gt;a child protection proceeding brought under Title 22, chapter 1071, including child &amp;lt;/w:t&amp;gt;&amp;lt;/w:r&amp;gt;&amp;lt;w:bookmarkStart w:id="40" w:name="_LINE__14_a2d54864_308e_4070_b901_8241c4" /&amp;gt;&amp;lt;w:bookmarkEnd w:id="39" /&amp;gt;&amp;lt;w:r w:rsidRPr="0018429C"&amp;gt;&amp;lt;w:t&amp;gt;protection proceedings consolidated in an action brought under Title 19-A; and&amp;lt;/w:t&amp;gt;&amp;lt;/w:r&amp;gt;&amp;lt;/w:ins&amp;gt;&amp;lt;w:bookmarkEnd w:id="40" /&amp;gt;&amp;lt;/w:p&amp;gt;&amp;lt;w:p w:rsidR="00B45E4E" w:rsidRDefault="00B45E4E" w:rsidP="00B45E4E"&amp;gt;&amp;lt;w:pPr&amp;gt;&amp;lt;w:ind w:left="360" w:firstLine="360" /&amp;gt;&amp;lt;/w:pPr&amp;gt;&amp;lt;w:bookmarkStart w:id="41" w:name="_BILL_SECTION_UNALLOCATED__be9daefe_4eef" /&amp;gt;&amp;lt;w:bookmarkStart w:id="42" w:name="_PAR__6_2845e33e_3566_4015_979c_5624b993" /&amp;gt;&amp;lt;w:bookmarkStart w:id="43" w:name="_LINE__15_cbfc0bc9_19fb_4737_86ab_548b7b" /&amp;gt;&amp;lt;w:bookmarkEnd w:id="26" /&amp;gt;&amp;lt;w:bookmarkEnd w:id="32" /&amp;gt;&amp;lt;w:bookmarkEnd w:id="33" /&amp;gt;&amp;lt;w:bookmarkEnd w:id="35" /&amp;gt;&amp;lt;w:bookmarkEnd w:id="38" /&amp;gt;&amp;lt;w:r&amp;gt;&amp;lt;w:rPr&amp;gt;&amp;lt;w:b /&amp;gt;&amp;lt;w:sz w:val="24" /&amp;gt;&amp;lt;/w:rPr&amp;gt;&amp;lt;w:t xml:space="preserve"&amp;gt;Sec. &amp;lt;/w:t&amp;gt;&amp;lt;/w:r&amp;gt;&amp;lt;w:bookmarkStart w:id="44" w:name="_BILL_SECTION_NUMBER__7ecac98a_7b0f_4441" /&amp;gt;&amp;lt;w:r&amp;gt;&amp;lt;w:rPr&amp;gt;&amp;lt;w:b /&amp;gt;&amp;lt;w:sz w:val="24" /&amp;gt;&amp;lt;/w:rPr&amp;gt;&amp;lt;w:t&amp;gt;3&amp;lt;/w:t&amp;gt;&amp;lt;/w:r&amp;gt;&amp;lt;w:bookmarkEnd w:id="44"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w:rsidRPr="0018429C"&amp;gt;&amp;lt;w:rPr&amp;gt;&amp;lt;w:b /&amp;gt;&amp;lt;w:sz w:val="24" /&amp;gt;&amp;lt;w:szCs w:val="24" /&amp;gt;&amp;lt;/w:rPr&amp;gt;&amp;lt;w:t&amp;gt;Additional magistrates.&amp;lt;/w:t&amp;gt;&amp;lt;/w:r&amp;gt;&amp;lt;w:r&amp;gt;&amp;lt;w:t xml:space="preserve"&amp;gt;  No later than August 1, 2025, the Chief Judge of &amp;lt;/w:t&amp;gt;&amp;lt;/w:r&amp;gt;&amp;lt;w:bookmarkStart w:id="45" w:name="_LINE__16_7796640d_9e69_4119_9a29_7e8d32" /&amp;gt;&amp;lt;w:bookmarkEnd w:id="43" /&amp;gt;&amp;lt;w:r&amp;gt;&amp;lt;w:t xml:space="preserve"&amp;gt;the District Court shall employ 24 family law magistrates and the State Court Administrator &amp;lt;/w:t&amp;gt;&amp;lt;/w:r&amp;gt;&amp;lt;w:bookmarkStart w:id="46" w:name="_LINE__17_ac9210b5_d7b7_47fa_abaa_8be396" /&amp;gt;&amp;lt;w:bookmarkEnd w:id="45" /&amp;gt;&amp;lt;w:r&amp;gt;&amp;lt;w:t&amp;gt;shall provide necessary staff for 24 family law magistrates.&amp;lt;/w:t&amp;gt;&amp;lt;/w:r&amp;gt;&amp;lt;w:bookmarkEnd w:id="46" /&amp;gt;&amp;lt;/w:p&amp;gt;&amp;lt;w:p w:rsidR="00B45E4E" w:rsidRDefault="00B45E4E" w:rsidP="00B45E4E"&amp;gt;&amp;lt;w:pPr&amp;gt;&amp;lt;w:keepNext /&amp;gt;&amp;lt;w:spacing w:before="240" /&amp;gt;&amp;lt;w:ind w:left="360" /&amp;gt;&amp;lt;w:jc w:val="center" /&amp;gt;&amp;lt;/w:pPr&amp;gt;&amp;lt;w:bookmarkStart w:id="47" w:name="_SUMMARY__e07c3df0_8a8d_4d2e_b17c_bfb409" /&amp;gt;&amp;lt;w:bookmarkStart w:id="48" w:name="_PAR__7_4486d206_895c_402b_a69f_647da03a" /&amp;gt;&amp;lt;w:bookmarkStart w:id="49" w:name="_LINE__18_b60863b4_0527_4798_a08d_c4c83b" /&amp;gt;&amp;lt;w:bookmarkEnd w:id="8" /&amp;gt;&amp;lt;w:bookmarkEnd w:id="41" /&amp;gt;&amp;lt;w:bookmarkEnd w:id="42" /&amp;gt;&amp;lt;w:r&amp;gt;&amp;lt;w:rPr&amp;gt;&amp;lt;w:b /&amp;gt;&amp;lt;w:sz w:val="24" /&amp;gt;&amp;lt;/w:rPr&amp;gt;&amp;lt;w:t&amp;gt;SUMMARY&amp;lt;/w:t&amp;gt;&amp;lt;/w:r&amp;gt;&amp;lt;w:bookmarkEnd w:id="49" /&amp;gt;&amp;lt;/w:p&amp;gt;&amp;lt;w:p w:rsidR="00B45E4E" w:rsidRDefault="00B45E4E" w:rsidP="00B45E4E"&amp;gt;&amp;lt;w:pPr&amp;gt;&amp;lt;w:ind w:left="360" w:firstLine="360" /&amp;gt;&amp;lt;/w:pPr&amp;gt;&amp;lt;w:bookmarkStart w:id="50" w:name="_Hlk125469060" /&amp;gt;&amp;lt;w:bookmarkStart w:id="51" w:name="_PAR__8_37f59246_14c9_4189_a37b_0dc4c79e" /&amp;gt;&amp;lt;w:bookmarkStart w:id="52" w:name="_LINE__19_67e9eb17_2475_4df9_98aa_8d8f53" /&amp;gt;&amp;lt;w:bookmarkEnd w:id="48" /&amp;gt;&amp;lt;w:r w:rsidRPr="0018429C"&amp;gt;&amp;lt;w:t xml:space="preserve"&amp;gt;This bill increases the number of family law magistrates to 24 by August 1, 2025 and &amp;lt;/w:t&amp;gt;&amp;lt;/w:r&amp;gt;&amp;lt;w:bookmarkStart w:id="53" w:name="_LINE__20_df506b67_f752_48f5_b415_158968" /&amp;gt;&amp;lt;w:bookmarkEnd w:id="52" /&amp;gt;&amp;lt;w:r w:rsidRPr="0018429C"&amp;gt;&amp;lt;w:t xml:space="preserve"&amp;gt;increases related staff.  It authorizes family law magistrates to hear and dispose of all &amp;lt;/w:t&amp;gt;&amp;lt;/w:r&amp;gt;&amp;lt;w:bookmarkStart w:id="54" w:name="_LINE__21_e8f7bd74_1f12_4979_8df2_3876e9" /&amp;gt;&amp;lt;w:bookmarkEnd w:id="53" /&amp;gt;&amp;lt;w:r w:rsidRPr="0018429C"&amp;gt;&amp;lt;w:t xml:space="preserve"&amp;gt;pretrial and interim elements of child protection proceedings, except for final prehearing &amp;lt;/w:t&amp;gt;&amp;lt;/w:r&amp;gt;&amp;lt;w:bookmarkStart w:id="55" w:name="_LINE__22_e5ff4335_0c69_4743_8de1_ad4301" /&amp;gt;&amp;lt;w:bookmarkEnd w:id="54" /&amp;gt;&amp;lt;w:r w:rsidRPr="0018429C"&amp;gt;&amp;lt;w:t&amp;gt;conferences.&amp;lt;/w:t&amp;gt;&amp;lt;/w:r&amp;gt;&amp;lt;w:bookmarkEnd w:id="55" /&amp;gt;&amp;lt;/w:p&amp;gt;&amp;lt;w:bookmarkEnd w:id="1" /&amp;gt;&amp;lt;w:bookmarkEnd w:id="2" /&amp;gt;&amp;lt;w:bookmarkEnd w:id="3" /&amp;gt;&amp;lt;w:bookmarkEnd w:id="47" /&amp;gt;&amp;lt;w:bookmarkEnd w:id="50" /&amp;gt;&amp;lt;w:bookmarkEnd w:id="51" /&amp;gt;&amp;lt;w:p w:rsidR="00000000" w:rsidRDefault="00B45E4E"&amp;gt;&amp;lt;w:r&amp;gt;&amp;lt;w:t xml:space="preserve"&amp;gt; &amp;lt;/w:t&amp;gt;&amp;lt;/w:r&amp;gt;&amp;lt;/w:p&amp;gt;&amp;lt;w:sectPr w:rsidR="00000000" w:rsidSect="00B45E4E"&amp;gt;&amp;lt;w:footerReference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w:rsidR="00FB1755" w:rsidRDefault="00B45E4E"&amp;gt;&amp;lt;w:pPr&amp;gt;&amp;lt;w:pStyle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/&amp;gt;&amp;lt;/w:rPr&amp;gt;&amp;lt;w:t&amp;gt;131LR0594(01)&amp;lt;/w:t&amp;gt;&amp;lt;/w:r&amp;gt;&amp;lt;w:r&amp;gt;&amp;lt;w:rPr&amp;gt;&amp;lt;w:snapToGrid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47b5bbe_bbf8_4404_b47b_6e19487&lt;/BookmarkName&gt;&lt;Tables /&gt;&lt;/ProcessedCheckInPage&gt;&lt;/Pages&gt;&lt;Paragraphs&gt;&lt;CheckInParagraphs&gt;&lt;PageNumber&gt;1&lt;/PageNumber&gt;&lt;BookmarkName&gt;_PAR__1_a88783da_70b6_4d87_b12f_d6ec610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b91c82a_0480_484c_97d9_76e37348&lt;/BookmarkName&gt;&lt;StartingLineNumber&gt;2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195ff113_8336_484e_b7e2_d0c50173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cd667c7_edb5_4f45_adba_670b605f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b77b395_c877_485b_8c0c_db9d791d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2845e33e_3566_4015_979c_5624b993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4486d206_895c_402b_a69f_647da03a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37f59246_14c9_4189_a37b_0dc4c79e&lt;/BookmarkName&gt;&lt;StartingLineNumber&gt;19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