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Ensure Continuity of Care for Pretrial Defendants</w:t>
      </w:r>
    </w:p>
    <w:p w:rsidR="000C62C8" w:rsidP="000C62C8">
      <w:pPr>
        <w:ind w:left="360"/>
        <w:rPr>
          <w:rFonts w:ascii="Arial" w:eastAsia="Arial" w:hAnsi="Arial" w:cs="Arial"/>
        </w:rPr>
      </w:pPr>
      <w:bookmarkStart w:id="0" w:name="_ENACTING_CLAUSE__612e1044_48d0_4427_b16"/>
      <w:bookmarkStart w:id="1" w:name="_DOC_BODY__c720a53c_1e8b_4d39_8f51_afdab"/>
      <w:bookmarkStart w:id="2" w:name="_DOC_BODY_CONTAINER__4017bf54_c4b8_4399_"/>
      <w:bookmarkStart w:id="3" w:name="_PAGE__1_1311f911_01f7_4db7_bc07_eb36104"/>
      <w:bookmarkStart w:id="4" w:name="_PAR__1_1e072a4d_2047_4e7d_80f8_eedd4b8f"/>
      <w:bookmarkStart w:id="5" w:name="_LINE__1_a4136a48_5658_43c4_bbf3_535592f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0C62C8" w:rsidP="000C62C8">
      <w:pPr>
        <w:ind w:left="360" w:firstLine="360"/>
        <w:rPr>
          <w:rFonts w:ascii="Arial" w:eastAsia="Arial" w:hAnsi="Arial" w:cs="Arial"/>
        </w:rPr>
      </w:pPr>
      <w:bookmarkStart w:id="6" w:name="_BILL_SECTION_HEADER__058988e0_b03b_41c3"/>
      <w:bookmarkStart w:id="7" w:name="_BILL_SECTION__e40dfce1_996f_4d48_926d_2"/>
      <w:bookmarkStart w:id="8" w:name="_DOC_BODY_CONTENT__06587686_dbbf_43bf_8c"/>
      <w:bookmarkStart w:id="9" w:name="_PAR__2_f38db168_5ec4_4227_8f35_3651401f"/>
      <w:bookmarkStart w:id="10" w:name="_LINE__2_5f7c2934_0d28_4cfe_a221_124732b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1566a899_2607_4859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15 MRSA §101-D, sub-§4, ¶B,</w:t>
      </w:r>
      <w:r>
        <w:rPr>
          <w:rFonts w:ascii="Arial" w:eastAsia="Arial" w:hAnsi="Arial" w:cs="Arial"/>
        </w:rPr>
        <w:t xml:space="preserve"> as amended by PL 2013, c. 265, §1, is </w:t>
      </w:r>
      <w:bookmarkStart w:id="12" w:name="_LINE__3_1258eedb_db62_486e_b21f_e5f67a1"/>
      <w:bookmarkEnd w:id="10"/>
      <w:r>
        <w:rPr>
          <w:rFonts w:ascii="Arial" w:eastAsia="Arial" w:hAnsi="Arial" w:cs="Arial"/>
        </w:rPr>
        <w:t>further amended to read:</w:t>
      </w:r>
      <w:bookmarkEnd w:id="12"/>
    </w:p>
    <w:p w:rsidR="000C62C8" w:rsidP="000C62C8">
      <w:pPr>
        <w:ind w:left="720"/>
        <w:rPr>
          <w:rFonts w:ascii="Arial" w:eastAsia="Arial" w:hAnsi="Arial" w:cs="Arial"/>
        </w:rPr>
      </w:pPr>
      <w:bookmarkStart w:id="13" w:name="_STATUTE_NUMBER__9a7092f5_af65_46ed_8696"/>
      <w:bookmarkStart w:id="14" w:name="_STATUTE_P__e6d87f8f_b9f0_48e3_bc15_a1c3"/>
      <w:bookmarkStart w:id="15" w:name="_PAR__3_70a4d11a_c5c5_48ee_aa90_e7337c02"/>
      <w:bookmarkStart w:id="16" w:name="_LINE__4_0db7e70b_9474_4662_8de5_1766f86"/>
      <w:bookmarkEnd w:id="6"/>
      <w:bookmarkEnd w:id="9"/>
      <w:r>
        <w:rPr>
          <w:rFonts w:ascii="Arial" w:eastAsia="Arial" w:hAnsi="Arial" w:cs="Arial"/>
        </w:rPr>
        <w:t>B</w:t>
      </w:r>
      <w:bookmarkEnd w:id="13"/>
      <w:r>
        <w:rPr>
          <w:rFonts w:ascii="Arial" w:eastAsia="Arial" w:hAnsi="Arial" w:cs="Arial"/>
        </w:rPr>
        <w:t xml:space="preserve">.  </w:t>
      </w:r>
      <w:bookmarkStart w:id="17" w:name="_STATUTE_CONTENT__c7d15879_34c9_4c35_a5e"/>
      <w:r>
        <w:rPr>
          <w:rFonts w:ascii="Arial" w:eastAsia="Arial" w:hAnsi="Arial" w:cs="Arial"/>
        </w:rPr>
        <w:t xml:space="preserve">Upon a determination by the State Forensic Service under </w:t>
      </w:r>
      <w:bookmarkStart w:id="18" w:name="_CROSS_REFERENCE__3f912cf9_f885_429c_b8d"/>
      <w:r>
        <w:rPr>
          <w:rFonts w:ascii="Arial" w:eastAsia="Arial" w:hAnsi="Arial" w:cs="Arial"/>
        </w:rPr>
        <w:t>paragraph A</w:t>
      </w:r>
      <w:bookmarkEnd w:id="18"/>
      <w:r>
        <w:rPr>
          <w:rFonts w:ascii="Arial" w:eastAsia="Arial" w:hAnsi="Arial" w:cs="Arial"/>
        </w:rPr>
        <w:t xml:space="preserve">, a court </w:t>
      </w:r>
      <w:bookmarkStart w:id="19" w:name="_LINE__5_8b30c261_e5d0_4058_a8bb_c05928d"/>
      <w:bookmarkEnd w:id="16"/>
      <w:r>
        <w:rPr>
          <w:rFonts w:ascii="Arial" w:eastAsia="Arial" w:hAnsi="Arial" w:cs="Arial"/>
        </w:rPr>
        <w:t xml:space="preserve">having jurisdiction in a criminal case may commit the defendant to the custody of the </w:t>
      </w:r>
      <w:bookmarkStart w:id="20" w:name="_LINE__6_6cc0f62a_3b7b_489b_aa2b_6ab2c33"/>
      <w:bookmarkEnd w:id="19"/>
      <w:r>
        <w:rPr>
          <w:rFonts w:ascii="Arial" w:eastAsia="Arial" w:hAnsi="Arial" w:cs="Arial"/>
        </w:rPr>
        <w:t xml:space="preserve">Commissioner of Health and Human Services for placement in an appropriate </w:t>
      </w:r>
      <w:bookmarkStart w:id="21" w:name="_LINE__7_eebce89a_1654_4825_8a69_5fe5c63"/>
      <w:bookmarkEnd w:id="20"/>
      <w:r>
        <w:rPr>
          <w:rFonts w:ascii="Arial" w:eastAsia="Arial" w:hAnsi="Arial" w:cs="Arial"/>
        </w:rPr>
        <w:t xml:space="preserve">institution for the care and treatment of people with mental illness or in an appropriate </w:t>
      </w:r>
      <w:bookmarkStart w:id="22" w:name="_LINE__8_8edde7ba_e44a_4bc8_9799_c817d5a"/>
      <w:bookmarkEnd w:id="21"/>
      <w:r>
        <w:rPr>
          <w:rFonts w:ascii="Arial" w:eastAsia="Arial" w:hAnsi="Arial" w:cs="Arial"/>
        </w:rPr>
        <w:t xml:space="preserve">residential program that provides care and treatment for persons who have intellectual </w:t>
      </w:r>
      <w:bookmarkStart w:id="23" w:name="_LINE__9_1c2c3aa4_79cf_44fd_b420_e512b18"/>
      <w:bookmarkEnd w:id="22"/>
      <w:r>
        <w:rPr>
          <w:rFonts w:ascii="Arial" w:eastAsia="Arial" w:hAnsi="Arial" w:cs="Arial"/>
        </w:rPr>
        <w:t xml:space="preserve">disabilities or autism for observation for a period not to exceed 60 days.  If the State </w:t>
      </w:r>
      <w:bookmarkStart w:id="24" w:name="_LINE__10_6a2210eb_1f42_466b_bd88_596fe3"/>
      <w:bookmarkEnd w:id="23"/>
      <w:r>
        <w:rPr>
          <w:rFonts w:ascii="Arial" w:eastAsia="Arial" w:hAnsi="Arial" w:cs="Arial"/>
        </w:rPr>
        <w:t xml:space="preserve">Forensic Service requires additional time for observation, it shall communicate its </w:t>
      </w:r>
      <w:bookmarkStart w:id="25" w:name="_LINE__11_ed77c696_cac5_48ea_b49f_0ac8b7"/>
      <w:bookmarkEnd w:id="24"/>
      <w:r>
        <w:rPr>
          <w:rFonts w:ascii="Arial" w:eastAsia="Arial" w:hAnsi="Arial" w:cs="Arial"/>
        </w:rPr>
        <w:t xml:space="preserve">request and the reasons for that request to the court and to counsel for the parties.  The </w:t>
      </w:r>
      <w:bookmarkStart w:id="26" w:name="_LINE__12_a43c09bd_97ff_4371_a116_8100b8"/>
      <w:bookmarkEnd w:id="25"/>
      <w:r>
        <w:rPr>
          <w:rFonts w:ascii="Arial" w:eastAsia="Arial" w:hAnsi="Arial" w:cs="Arial"/>
        </w:rPr>
        <w:t xml:space="preserve">court shall accommodate a party's request to be heard on the issue of whether an </w:t>
      </w:r>
      <w:bookmarkStart w:id="27" w:name="_LINE__13_85fff18a_112b_465d_ac63_648c02"/>
      <w:bookmarkEnd w:id="26"/>
      <w:r>
        <w:rPr>
          <w:rFonts w:ascii="Arial" w:eastAsia="Arial" w:hAnsi="Arial" w:cs="Arial"/>
        </w:rPr>
        <w:t xml:space="preserve">extension should be granted and may extend the commitment for up to an additional </w:t>
      </w:r>
      <w:bookmarkStart w:id="28" w:name="_LINE__14_8a0944d9_1159_4b74_8d28_d0049a"/>
      <w:bookmarkEnd w:id="27"/>
      <w:r>
        <w:rPr>
          <w:rFonts w:ascii="Arial" w:eastAsia="Arial" w:hAnsi="Arial" w:cs="Arial"/>
        </w:rPr>
        <w:t xml:space="preserve">90 days.  Unless the defendant objects, an order under this paragraph must authorize </w:t>
      </w:r>
      <w:bookmarkStart w:id="29" w:name="_LINE__15_72e3570a_8f70_402a_a735_17989f"/>
      <w:bookmarkEnd w:id="28"/>
      <w:r>
        <w:rPr>
          <w:rFonts w:ascii="Arial" w:eastAsia="Arial" w:hAnsi="Arial" w:cs="Arial"/>
        </w:rPr>
        <w:t xml:space="preserve">the institution or residential program where the defendant is placed by the </w:t>
      </w:r>
      <w:bookmarkStart w:id="30" w:name="_LINE__16_6545978d_9a2f_4d30_ade8_85611a"/>
      <w:bookmarkEnd w:id="29"/>
      <w:r>
        <w:rPr>
          <w:rFonts w:ascii="Arial" w:eastAsia="Arial" w:hAnsi="Arial" w:cs="Arial"/>
        </w:rPr>
        <w:t xml:space="preserve">Commissioner of Health and Human Services to provide treatment to the defendant.  </w:t>
      </w:r>
      <w:bookmarkStart w:id="31" w:name="_LINE__17_4c9cb32a_c18c_478a_a315_1e0f25"/>
      <w:bookmarkEnd w:id="30"/>
      <w:r>
        <w:rPr>
          <w:rFonts w:ascii="Arial" w:eastAsia="Arial" w:hAnsi="Arial" w:cs="Arial"/>
        </w:rPr>
        <w:t xml:space="preserve">When further observation of the defendant is determined no longer necessary by the </w:t>
      </w:r>
      <w:bookmarkStart w:id="32" w:name="_LINE__18_0bec6d1a_2d76_4714_a93f_625cd7"/>
      <w:bookmarkEnd w:id="31"/>
      <w:r>
        <w:rPr>
          <w:rFonts w:ascii="Arial" w:eastAsia="Arial" w:hAnsi="Arial" w:cs="Arial"/>
        </w:rPr>
        <w:t xml:space="preserve">State Forensic Service, the </w:t>
      </w:r>
      <w:bookmarkStart w:id="33" w:name="_PROCESSED_CHANGE__9a0976f8_8e13_4a6b_be"/>
      <w:r>
        <w:rPr>
          <w:rFonts w:ascii="Arial" w:eastAsia="Arial" w:hAnsi="Arial" w:cs="Arial"/>
          <w:strike/>
        </w:rPr>
        <w:t>commissioner</w:t>
      </w:r>
      <w:r>
        <w:rPr>
          <w:rFonts w:ascii="Arial" w:eastAsia="Arial" w:hAnsi="Arial" w:cs="Arial"/>
        </w:rPr>
        <w:t xml:space="preserve"> </w:t>
      </w:r>
      <w:bookmarkStart w:id="34" w:name="_PROCESSED_CHANGE__f1aefef0_5aa9_465d_b4"/>
      <w:bookmarkEnd w:id="33"/>
      <w:r>
        <w:rPr>
          <w:rFonts w:ascii="Arial" w:eastAsia="Arial" w:hAnsi="Arial" w:cs="Arial"/>
          <w:u w:val="single"/>
        </w:rPr>
        <w:t xml:space="preserve">Commissioner of Health and Human </w:t>
      </w:r>
      <w:bookmarkStart w:id="35" w:name="_LINE__19_471c253d_1e20_4291_a8f4_5d993c"/>
      <w:bookmarkEnd w:id="32"/>
      <w:r>
        <w:rPr>
          <w:rFonts w:ascii="Arial" w:eastAsia="Arial" w:hAnsi="Arial" w:cs="Arial"/>
          <w:u w:val="single"/>
        </w:rPr>
        <w:t>Services</w:t>
      </w:r>
      <w:r>
        <w:rPr>
          <w:rFonts w:ascii="Arial" w:eastAsia="Arial" w:hAnsi="Arial" w:cs="Arial"/>
        </w:rPr>
        <w:t xml:space="preserve"> </w:t>
      </w:r>
      <w:bookmarkEnd w:id="34"/>
      <w:r>
        <w:rPr>
          <w:rFonts w:ascii="Arial" w:eastAsia="Arial" w:hAnsi="Arial" w:cs="Arial"/>
        </w:rPr>
        <w:t xml:space="preserve">shall report that determination to the court and the court shall terminate the </w:t>
      </w:r>
      <w:bookmarkStart w:id="36" w:name="_LINE__20_b87678a3_f53d_4ef9_b4b6_d82898"/>
      <w:bookmarkEnd w:id="35"/>
      <w:r>
        <w:rPr>
          <w:rFonts w:ascii="Arial" w:eastAsia="Arial" w:hAnsi="Arial" w:cs="Arial"/>
        </w:rPr>
        <w:t xml:space="preserve">commitment.  </w:t>
      </w:r>
      <w:bookmarkStart w:id="37" w:name="_PROCESSED_CHANGE__7ba4b656_5972_44d5_8f"/>
      <w:r>
        <w:rPr>
          <w:rFonts w:ascii="Arial" w:eastAsia="Arial" w:hAnsi="Arial" w:cs="Arial"/>
          <w:u w:val="single"/>
        </w:rPr>
        <w:t xml:space="preserve">If </w:t>
      </w:r>
      <w:r>
        <w:rPr>
          <w:rFonts w:ascii="Arial" w:eastAsia="Arial" w:hAnsi="Arial" w:cs="Arial"/>
          <w:u w:val="single"/>
        </w:rPr>
        <w:t>the</w:t>
      </w:r>
      <w:r>
        <w:rPr>
          <w:rFonts w:ascii="Arial" w:eastAsia="Arial" w:hAnsi="Arial" w:cs="Arial"/>
          <w:u w:val="single"/>
        </w:rPr>
        <w:t xml:space="preserve"> defendant is </w:t>
      </w:r>
      <w:r>
        <w:rPr>
          <w:rFonts w:ascii="Arial" w:eastAsia="Arial" w:hAnsi="Arial" w:cs="Arial"/>
          <w:u w:val="single"/>
        </w:rPr>
        <w:t>commi</w:t>
      </w:r>
      <w:r>
        <w:rPr>
          <w:rFonts w:ascii="Arial" w:eastAsia="Arial" w:hAnsi="Arial" w:cs="Arial"/>
          <w:u w:val="single"/>
        </w:rPr>
        <w:t>tted</w:t>
      </w:r>
      <w:r>
        <w:rPr>
          <w:rFonts w:ascii="Arial" w:eastAsia="Arial" w:hAnsi="Arial" w:cs="Arial"/>
          <w:u w:val="single"/>
        </w:rPr>
        <w:t xml:space="preserve"> by the court </w:t>
      </w:r>
      <w:r>
        <w:rPr>
          <w:rFonts w:ascii="Arial" w:eastAsia="Arial" w:hAnsi="Arial" w:cs="Arial"/>
          <w:u w:val="single"/>
        </w:rPr>
        <w:t>to</w:t>
      </w:r>
      <w:r>
        <w:rPr>
          <w:rFonts w:ascii="Arial" w:eastAsia="Arial" w:hAnsi="Arial" w:cs="Arial"/>
          <w:u w:val="single"/>
        </w:rPr>
        <w:t xml:space="preserve"> the custody of the </w:t>
      </w:r>
      <w:bookmarkStart w:id="38" w:name="_LINE__21_4f8e2c16_6822_4760_806d_9cad35"/>
      <w:bookmarkEnd w:id="36"/>
      <w:r>
        <w:rPr>
          <w:rFonts w:ascii="Arial" w:eastAsia="Arial" w:hAnsi="Arial" w:cs="Arial"/>
          <w:u w:val="single"/>
        </w:rPr>
        <w:t>Commissioner of Health and Human Services for observation</w:t>
      </w:r>
      <w:r>
        <w:rPr>
          <w:rFonts w:ascii="Arial" w:eastAsia="Arial" w:hAnsi="Arial" w:cs="Arial"/>
          <w:u w:val="single"/>
        </w:rPr>
        <w:t xml:space="preserve"> under this paragraph</w:t>
      </w:r>
      <w:r>
        <w:rPr>
          <w:rFonts w:ascii="Arial" w:eastAsia="Arial" w:hAnsi="Arial" w:cs="Arial"/>
          <w:u w:val="single"/>
        </w:rPr>
        <w:t xml:space="preserve">, the </w:t>
      </w:r>
      <w:bookmarkStart w:id="39" w:name="_LINE__22_a0da301a_c998_4a9b_ad94_cdf2b3"/>
      <w:bookmarkEnd w:id="38"/>
      <w:r>
        <w:rPr>
          <w:rFonts w:ascii="Arial" w:eastAsia="Arial" w:hAnsi="Arial" w:cs="Arial"/>
          <w:u w:val="single"/>
        </w:rPr>
        <w:t xml:space="preserve">State Forensic Service may release prior court-ordered evaluation reports pertaining to </w:t>
      </w:r>
      <w:bookmarkStart w:id="40" w:name="_LINE__23_e86b31fc_1113_4281_b8f1_b4c6ec"/>
      <w:bookmarkEnd w:id="39"/>
      <w:r>
        <w:rPr>
          <w:rFonts w:ascii="Arial" w:eastAsia="Arial" w:hAnsi="Arial" w:cs="Arial"/>
          <w:u w:val="single"/>
        </w:rPr>
        <w:t xml:space="preserve">the pending charges, unless otherwise impounded, to the institution or </w:t>
      </w:r>
      <w:r>
        <w:rPr>
          <w:rFonts w:ascii="Arial" w:eastAsia="Arial" w:hAnsi="Arial" w:cs="Arial"/>
          <w:u w:val="single"/>
        </w:rPr>
        <w:t>resident</w:t>
      </w:r>
      <w:r>
        <w:rPr>
          <w:rFonts w:ascii="Arial" w:eastAsia="Arial" w:hAnsi="Arial" w:cs="Arial"/>
          <w:u w:val="single"/>
        </w:rPr>
        <w:t xml:space="preserve">ial </w:t>
      </w:r>
      <w:bookmarkStart w:id="41" w:name="_LINE__24_ba617615_42e6_4440_9ae0_5847a2"/>
      <w:bookmarkEnd w:id="40"/>
      <w:r>
        <w:rPr>
          <w:rFonts w:ascii="Arial" w:eastAsia="Arial" w:hAnsi="Arial" w:cs="Arial"/>
          <w:u w:val="single"/>
        </w:rPr>
        <w:t xml:space="preserve">program into which the defendant is placed by the Commissioner of Health and Human </w:t>
      </w:r>
      <w:bookmarkStart w:id="42" w:name="_LINE__25_6d50c619_d49e_44ab_8167_874a6f"/>
      <w:bookmarkEnd w:id="41"/>
      <w:r>
        <w:rPr>
          <w:rFonts w:ascii="Arial" w:eastAsia="Arial" w:hAnsi="Arial" w:cs="Arial"/>
          <w:u w:val="single"/>
        </w:rPr>
        <w:t>Services.</w:t>
      </w:r>
      <w:r>
        <w:rPr>
          <w:rFonts w:ascii="Arial" w:eastAsia="Arial" w:hAnsi="Arial" w:cs="Arial"/>
        </w:rPr>
        <w:t xml:space="preserve">  </w:t>
      </w:r>
      <w:bookmarkEnd w:id="37"/>
      <w:r>
        <w:rPr>
          <w:rFonts w:ascii="Arial" w:eastAsia="Arial" w:hAnsi="Arial" w:cs="Arial"/>
        </w:rPr>
        <w:t xml:space="preserve">If the defendant had been incarcerated prior to the commitment for </w:t>
      </w:r>
      <w:bookmarkStart w:id="43" w:name="_LINE__26_42581306_d297_4773_b40e_611f34"/>
      <w:bookmarkEnd w:id="42"/>
      <w:r>
        <w:rPr>
          <w:rFonts w:ascii="Arial" w:eastAsia="Arial" w:hAnsi="Arial" w:cs="Arial"/>
        </w:rPr>
        <w:t xml:space="preserve">observation and if, during the period of observation, the defendant presents a </w:t>
      </w:r>
      <w:bookmarkStart w:id="44" w:name="_LINE__27_3091c659_5c52_4fd4_a2e7_54cd58"/>
      <w:bookmarkEnd w:id="43"/>
      <w:r>
        <w:rPr>
          <w:rFonts w:ascii="Arial" w:eastAsia="Arial" w:hAnsi="Arial" w:cs="Arial"/>
        </w:rPr>
        <w:t xml:space="preserve">substantial risk of causing bodily injury to staff or others that cannot be managed in an </w:t>
      </w:r>
      <w:bookmarkStart w:id="45" w:name="_LINE__28_92b4887e_47d4_42bf_a389_4c00a8"/>
      <w:bookmarkEnd w:id="44"/>
      <w:r>
        <w:rPr>
          <w:rFonts w:ascii="Arial" w:eastAsia="Arial" w:hAnsi="Arial" w:cs="Arial"/>
        </w:rPr>
        <w:t xml:space="preserve">appropriate institution for the care and treatment of people with mental illness or in an </w:t>
      </w:r>
      <w:bookmarkStart w:id="46" w:name="_LINE__29_344341d5_d545_4f53_9163_c06163"/>
      <w:bookmarkEnd w:id="45"/>
      <w:r>
        <w:rPr>
          <w:rFonts w:ascii="Arial" w:eastAsia="Arial" w:hAnsi="Arial" w:cs="Arial"/>
        </w:rPr>
        <w:t xml:space="preserve">appropriate residential program that provides care and treatment for persons who have </w:t>
      </w:r>
      <w:bookmarkStart w:id="47" w:name="_LINE__30_a4ea5cf3_05d2_4a6a_a940_ca454f"/>
      <w:bookmarkEnd w:id="46"/>
      <w:r>
        <w:rPr>
          <w:rFonts w:ascii="Arial" w:eastAsia="Arial" w:hAnsi="Arial" w:cs="Arial"/>
        </w:rPr>
        <w:t xml:space="preserve">intellectual disabilities or autism, the </w:t>
      </w:r>
      <w:bookmarkStart w:id="48" w:name="_PROCESSED_CHANGE__c13062b2_15bb_42ab_be"/>
      <w:r>
        <w:rPr>
          <w:rFonts w:ascii="Arial" w:eastAsia="Arial" w:hAnsi="Arial" w:cs="Arial"/>
          <w:strike/>
        </w:rPr>
        <w:t>commissioner</w:t>
      </w:r>
      <w:r>
        <w:rPr>
          <w:rFonts w:ascii="Arial" w:eastAsia="Arial" w:hAnsi="Arial" w:cs="Arial"/>
        </w:rPr>
        <w:t xml:space="preserve"> </w:t>
      </w:r>
      <w:bookmarkStart w:id="49" w:name="_PROCESSED_CHANGE__8d042b00_db74_4246_9f"/>
      <w:bookmarkEnd w:id="48"/>
      <w:r>
        <w:rPr>
          <w:rFonts w:ascii="Arial" w:eastAsia="Arial" w:hAnsi="Arial" w:cs="Arial"/>
          <w:u w:val="single"/>
        </w:rPr>
        <w:t xml:space="preserve">Commissioner of Health and </w:t>
      </w:r>
      <w:bookmarkStart w:id="50" w:name="_LINE__31_60d91abe_c1fe_4e37_a580_4ec7be"/>
      <w:bookmarkEnd w:id="47"/>
      <w:r>
        <w:rPr>
          <w:rFonts w:ascii="Arial" w:eastAsia="Arial" w:hAnsi="Arial" w:cs="Arial"/>
          <w:u w:val="single"/>
        </w:rPr>
        <w:t>Hum</w:t>
      </w:r>
      <w:r>
        <w:rPr>
          <w:rFonts w:ascii="Arial" w:eastAsia="Arial" w:hAnsi="Arial" w:cs="Arial"/>
          <w:u w:val="single"/>
        </w:rPr>
        <w:t>an Services</w:t>
      </w:r>
      <w:r>
        <w:rPr>
          <w:rFonts w:ascii="Arial" w:eastAsia="Arial" w:hAnsi="Arial" w:cs="Arial"/>
        </w:rPr>
        <w:t xml:space="preserve"> </w:t>
      </w:r>
      <w:bookmarkEnd w:id="49"/>
      <w:r>
        <w:rPr>
          <w:rFonts w:ascii="Arial" w:eastAsia="Arial" w:hAnsi="Arial" w:cs="Arial"/>
        </w:rPr>
        <w:t xml:space="preserve">may return the defendant to the correctional facility.  The </w:t>
      </w:r>
      <w:bookmarkStart w:id="51" w:name="_LINE__32_b7c5fdef_c63d_47e8_80bf_357fd1"/>
      <w:bookmarkStart w:id="52" w:name="_PROCESSED_CHANGE__e957e3c2_6eaf_4f8c_b9"/>
      <w:bookmarkEnd w:id="50"/>
      <w:r>
        <w:rPr>
          <w:rFonts w:ascii="Arial" w:eastAsia="Arial" w:hAnsi="Arial" w:cs="Arial"/>
          <w:strike/>
        </w:rPr>
        <w:t>commissioner</w:t>
      </w:r>
      <w:r>
        <w:rPr>
          <w:rFonts w:ascii="Arial" w:eastAsia="Arial" w:hAnsi="Arial" w:cs="Arial"/>
        </w:rPr>
        <w:t xml:space="preserve"> </w:t>
      </w:r>
      <w:bookmarkStart w:id="53" w:name="_PROCESSED_CHANGE__8048a95f_a2cf_4550_94"/>
      <w:bookmarkEnd w:id="52"/>
      <w:r>
        <w:rPr>
          <w:rFonts w:ascii="Arial" w:eastAsia="Arial" w:hAnsi="Arial" w:cs="Arial"/>
          <w:u w:val="single"/>
        </w:rPr>
        <w:t>Commissioner of Health and Human Services</w:t>
      </w:r>
      <w:r>
        <w:rPr>
          <w:rFonts w:ascii="Arial" w:eastAsia="Arial" w:hAnsi="Arial" w:cs="Arial"/>
        </w:rPr>
        <w:t xml:space="preserve"> </w:t>
      </w:r>
      <w:bookmarkEnd w:id="53"/>
      <w:r>
        <w:rPr>
          <w:rFonts w:ascii="Arial" w:eastAsia="Arial" w:hAnsi="Arial" w:cs="Arial"/>
        </w:rPr>
        <w:t xml:space="preserve">shall report the risk </w:t>
      </w:r>
      <w:bookmarkStart w:id="54" w:name="_LINE__33_7a8605bc_591a_49d8_b72a_fa3c9e"/>
      <w:bookmarkEnd w:id="51"/>
      <w:r>
        <w:rPr>
          <w:rFonts w:ascii="Arial" w:eastAsia="Arial" w:hAnsi="Arial" w:cs="Arial"/>
        </w:rPr>
        <w:t xml:space="preserve">management issues to the court. Upon receiving the report, the court shall review the </w:t>
      </w:r>
      <w:bookmarkStart w:id="55" w:name="_LINE__34_d2060d96_5e55_46cc_8bfa_6990a4"/>
      <w:bookmarkEnd w:id="54"/>
      <w:r>
        <w:rPr>
          <w:rFonts w:ascii="Arial" w:eastAsia="Arial" w:hAnsi="Arial" w:cs="Arial"/>
        </w:rPr>
        <w:t xml:space="preserve">report and may enter any order authorized by this section, including termination of the </w:t>
      </w:r>
      <w:bookmarkStart w:id="56" w:name="_LINE__35_b646eff1_3e60_4bcc_98ee_2b42b0"/>
      <w:bookmarkEnd w:id="55"/>
      <w:r>
        <w:rPr>
          <w:rFonts w:ascii="Arial" w:eastAsia="Arial" w:hAnsi="Arial" w:cs="Arial"/>
        </w:rPr>
        <w:t>commitment.</w:t>
      </w:r>
      <w:bookmarkEnd w:id="17"/>
      <w:bookmarkEnd w:id="56"/>
    </w:p>
    <w:p w:rsidR="000C62C8" w:rsidP="000C62C8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57" w:name="_SUMMARY__b92fe881_9a4b_4874_a317_17e9df"/>
      <w:bookmarkStart w:id="58" w:name="_PAR__4_a46161ff_6a1d_4c31_b62b_138acf60"/>
      <w:bookmarkStart w:id="59" w:name="_LINE__36_c90a07a1_3a64_43b4_8192_079032"/>
      <w:bookmarkEnd w:id="7"/>
      <w:bookmarkEnd w:id="8"/>
      <w:bookmarkEnd w:id="14"/>
      <w:bookmarkEnd w:id="15"/>
      <w:r>
        <w:rPr>
          <w:rFonts w:ascii="Arial" w:eastAsia="Arial" w:hAnsi="Arial" w:cs="Arial"/>
          <w:b/>
          <w:sz w:val="24"/>
        </w:rPr>
        <w:t>SUMMARY</w:t>
      </w:r>
      <w:bookmarkEnd w:id="59"/>
    </w:p>
    <w:p w:rsidR="000C62C8" w:rsidP="000C62C8">
      <w:pPr>
        <w:ind w:left="360" w:firstLine="360"/>
        <w:rPr>
          <w:rFonts w:ascii="Arial" w:eastAsia="Arial" w:hAnsi="Arial" w:cs="Arial"/>
        </w:rPr>
      </w:pPr>
      <w:bookmarkStart w:id="60" w:name="_PAR__5_695feb2e_c7b5_4e2d_ba0e_486d3ba7"/>
      <w:bookmarkStart w:id="61" w:name="_LINE__37_0aa45a32_b77d_4bd3_97f2_679e51"/>
      <w:bookmarkEnd w:id="58"/>
      <w:r>
        <w:rPr>
          <w:rFonts w:ascii="Arial" w:eastAsia="Arial" w:hAnsi="Arial" w:cs="Arial"/>
        </w:rPr>
        <w:t xml:space="preserve">This bill authorizes the State Forensic Service to disclose prior court-ordered </w:t>
      </w:r>
      <w:bookmarkStart w:id="62" w:name="_LINE__38_8d9d6481_7fad_48b3_9e4b_a4cb7f"/>
      <w:bookmarkEnd w:id="61"/>
      <w:r>
        <w:rPr>
          <w:rFonts w:ascii="Arial" w:eastAsia="Arial" w:hAnsi="Arial" w:cs="Arial"/>
        </w:rPr>
        <w:t xml:space="preserve">evaluation reports pertaining to the pending changes of pretrial defendants to institutions </w:t>
      </w:r>
      <w:bookmarkStart w:id="63" w:name="_LINE__39_d004a261_1d4c_4294_a293_82cf64"/>
      <w:bookmarkEnd w:id="62"/>
      <w:r>
        <w:rPr>
          <w:rFonts w:ascii="Arial" w:eastAsia="Arial" w:hAnsi="Arial" w:cs="Arial"/>
        </w:rPr>
        <w:t xml:space="preserve">for the care and treatment of people with mental illness or residential programs that provide </w:t>
      </w:r>
      <w:bookmarkStart w:id="64" w:name="_LINE__40_d91c5b2a_b076_439c_b9d7_c1a1de"/>
      <w:bookmarkEnd w:id="63"/>
      <w:r>
        <w:rPr>
          <w:rFonts w:ascii="Arial" w:eastAsia="Arial" w:hAnsi="Arial" w:cs="Arial"/>
        </w:rPr>
        <w:t xml:space="preserve">care and treatment for persons who have intellectual disabilities or autism when the court </w:t>
      </w:r>
      <w:bookmarkStart w:id="65" w:name="_LINE__41_17ea6896_76c6_4859_b2df_f15f91"/>
      <w:bookmarkEnd w:id="64"/>
      <w:r>
        <w:rPr>
          <w:rFonts w:ascii="Arial" w:eastAsia="Arial" w:hAnsi="Arial" w:cs="Arial"/>
        </w:rPr>
        <w:t>commits a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defendant to the Commissioner of Health and Human Services for observation </w:t>
      </w:r>
      <w:bookmarkStart w:id="66" w:name="_LINE__42_d90f5b30_c5ff_4b7f_a43e_faa5dc"/>
      <w:bookmarkEnd w:id="65"/>
      <w:r>
        <w:rPr>
          <w:rFonts w:ascii="Arial" w:eastAsia="Arial" w:hAnsi="Arial" w:cs="Arial"/>
        </w:rPr>
        <w:t>in such an institution or program.</w:t>
      </w:r>
      <w:bookmarkEnd w:id="66"/>
    </w:p>
    <w:bookmarkEnd w:id="1"/>
    <w:bookmarkEnd w:id="2"/>
    <w:bookmarkEnd w:id="3"/>
    <w:bookmarkEnd w:id="57"/>
    <w:bookmarkEnd w:id="60"/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LR0155,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Ensure Continuity of Care for Pretrial Defendants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0C62C8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