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2A954" w14:textId="77777777" w:rsidR="007E3BD1" w:rsidRPr="0007587D" w:rsidRDefault="007E3BD1" w:rsidP="00804B22">
      <w:pPr>
        <w:rPr>
          <w:rFonts w:ascii="Georgia" w:hAnsi="Georgia"/>
        </w:rPr>
      </w:pPr>
    </w:p>
    <w:p w14:paraId="2D26C0FA" w14:textId="77777777" w:rsidR="00326027" w:rsidRDefault="00326027" w:rsidP="00326027">
      <w:pPr>
        <w:pStyle w:val="NoSpacing"/>
        <w:jc w:val="center"/>
        <w:rPr>
          <w:rFonts w:ascii="Georgia" w:hAnsi="Georgia"/>
          <w:b/>
          <w:bCs/>
          <w:sz w:val="28"/>
          <w:szCs w:val="28"/>
        </w:rPr>
      </w:pPr>
      <w:r w:rsidRPr="0007587D">
        <w:rPr>
          <w:rFonts w:ascii="Georgia" w:hAnsi="Georgia"/>
          <w:b/>
          <w:bCs/>
          <w:sz w:val="28"/>
          <w:szCs w:val="28"/>
        </w:rPr>
        <w:t>(Small) Business Ombudsman Program</w:t>
      </w:r>
    </w:p>
    <w:p w14:paraId="1AC76471" w14:textId="77777777" w:rsidR="0042489D" w:rsidRPr="0007587D" w:rsidRDefault="0042489D" w:rsidP="00326027">
      <w:pPr>
        <w:pStyle w:val="NoSpacing"/>
        <w:jc w:val="center"/>
        <w:rPr>
          <w:rFonts w:ascii="Georgia" w:hAnsi="Georgia"/>
          <w:b/>
          <w:bCs/>
          <w:sz w:val="28"/>
          <w:szCs w:val="28"/>
        </w:rPr>
      </w:pPr>
    </w:p>
    <w:p w14:paraId="3B3E54F9" w14:textId="77777777" w:rsidR="0007587D" w:rsidRDefault="00326027" w:rsidP="00326027">
      <w:pPr>
        <w:pStyle w:val="NoSpacing"/>
        <w:jc w:val="center"/>
        <w:rPr>
          <w:rFonts w:ascii="Georgia" w:hAnsi="Georgia"/>
          <w:b/>
          <w:bCs/>
          <w:sz w:val="28"/>
          <w:szCs w:val="28"/>
        </w:rPr>
      </w:pPr>
      <w:r w:rsidRPr="0007587D">
        <w:rPr>
          <w:rFonts w:ascii="Georgia" w:hAnsi="Georgia"/>
          <w:b/>
          <w:bCs/>
          <w:sz w:val="28"/>
          <w:szCs w:val="28"/>
        </w:rPr>
        <w:t xml:space="preserve">Report to </w:t>
      </w:r>
      <w:r w:rsidR="0007587D" w:rsidRPr="0007587D">
        <w:rPr>
          <w:rFonts w:ascii="Georgia" w:hAnsi="Georgia"/>
          <w:b/>
          <w:bCs/>
          <w:sz w:val="28"/>
          <w:szCs w:val="28"/>
        </w:rPr>
        <w:t>Governor Mills</w:t>
      </w:r>
      <w:r w:rsidR="0007587D">
        <w:rPr>
          <w:rFonts w:ascii="Georgia" w:hAnsi="Georgia"/>
          <w:b/>
          <w:bCs/>
          <w:sz w:val="28"/>
          <w:szCs w:val="28"/>
        </w:rPr>
        <w:t>,</w:t>
      </w:r>
      <w:r w:rsidR="0007587D" w:rsidRPr="0007587D">
        <w:rPr>
          <w:rFonts w:ascii="Georgia" w:hAnsi="Georgia"/>
          <w:b/>
          <w:bCs/>
          <w:sz w:val="28"/>
          <w:szCs w:val="28"/>
        </w:rPr>
        <w:t xml:space="preserve"> </w:t>
      </w:r>
      <w:r w:rsidRPr="0007587D">
        <w:rPr>
          <w:rFonts w:ascii="Georgia" w:hAnsi="Georgia"/>
          <w:b/>
          <w:bCs/>
          <w:sz w:val="28"/>
          <w:szCs w:val="28"/>
        </w:rPr>
        <w:t xml:space="preserve">Commissioner </w:t>
      </w:r>
      <w:r w:rsidR="00C82104" w:rsidRPr="0007587D">
        <w:rPr>
          <w:rFonts w:ascii="Georgia" w:hAnsi="Georgia"/>
          <w:b/>
          <w:bCs/>
          <w:sz w:val="28"/>
          <w:szCs w:val="28"/>
        </w:rPr>
        <w:t>Duguay</w:t>
      </w:r>
      <w:r w:rsidRPr="0007587D">
        <w:rPr>
          <w:rFonts w:ascii="Georgia" w:hAnsi="Georgia"/>
          <w:b/>
          <w:bCs/>
          <w:sz w:val="28"/>
          <w:szCs w:val="28"/>
        </w:rPr>
        <w:t xml:space="preserve"> </w:t>
      </w:r>
    </w:p>
    <w:p w14:paraId="42C5F8E8" w14:textId="579CF3B5" w:rsidR="00326027" w:rsidRPr="0007587D" w:rsidRDefault="00326027" w:rsidP="00326027">
      <w:pPr>
        <w:pStyle w:val="NoSpacing"/>
        <w:jc w:val="center"/>
        <w:rPr>
          <w:rFonts w:ascii="Georgia" w:hAnsi="Georgia"/>
          <w:b/>
          <w:bCs/>
          <w:sz w:val="28"/>
          <w:szCs w:val="28"/>
        </w:rPr>
      </w:pPr>
      <w:r w:rsidRPr="0007587D">
        <w:rPr>
          <w:rFonts w:ascii="Georgia" w:hAnsi="Georgia"/>
          <w:b/>
          <w:bCs/>
          <w:sz w:val="28"/>
          <w:szCs w:val="28"/>
        </w:rPr>
        <w:t>and the Legislature for 202</w:t>
      </w:r>
      <w:r w:rsidR="00C82104" w:rsidRPr="0007587D">
        <w:rPr>
          <w:rFonts w:ascii="Georgia" w:hAnsi="Georgia"/>
          <w:b/>
          <w:bCs/>
          <w:sz w:val="28"/>
          <w:szCs w:val="28"/>
        </w:rPr>
        <w:t>5</w:t>
      </w:r>
    </w:p>
    <w:p w14:paraId="4149F1B4" w14:textId="4CCA4E3F" w:rsidR="0042489D" w:rsidRDefault="00326027" w:rsidP="00326027">
      <w:pPr>
        <w:pStyle w:val="NoSpacing"/>
        <w:jc w:val="center"/>
        <w:rPr>
          <w:rFonts w:ascii="Georgia" w:hAnsi="Georgia"/>
          <w:b/>
          <w:bCs/>
          <w:sz w:val="24"/>
          <w:szCs w:val="24"/>
        </w:rPr>
      </w:pPr>
      <w:r w:rsidRPr="0007587D">
        <w:rPr>
          <w:rFonts w:ascii="Georgia" w:hAnsi="Georgia"/>
          <w:b/>
          <w:bCs/>
          <w:sz w:val="24"/>
          <w:szCs w:val="24"/>
        </w:rPr>
        <w:t xml:space="preserve">Prepared by Jake Daniele, Small Business Development Manager </w:t>
      </w:r>
    </w:p>
    <w:p w14:paraId="3FEABE10" w14:textId="77D85536" w:rsidR="00326027" w:rsidRPr="0007587D" w:rsidRDefault="00326027" w:rsidP="00326027">
      <w:pPr>
        <w:pStyle w:val="NoSpacing"/>
        <w:jc w:val="center"/>
        <w:rPr>
          <w:rFonts w:ascii="Georgia" w:hAnsi="Georgia"/>
          <w:b/>
          <w:bCs/>
          <w:sz w:val="24"/>
          <w:szCs w:val="24"/>
        </w:rPr>
      </w:pPr>
      <w:r w:rsidRPr="0007587D">
        <w:rPr>
          <w:rFonts w:ascii="Georgia" w:hAnsi="Georgia"/>
          <w:b/>
          <w:bCs/>
          <w:sz w:val="24"/>
          <w:szCs w:val="24"/>
        </w:rPr>
        <w:t>Office of Business Development</w:t>
      </w:r>
    </w:p>
    <w:p w14:paraId="472D0E11" w14:textId="77777777" w:rsidR="00EA7C5C" w:rsidRPr="0007587D" w:rsidRDefault="00EA7C5C" w:rsidP="00326027">
      <w:pPr>
        <w:pStyle w:val="NoSpacing"/>
        <w:jc w:val="center"/>
        <w:rPr>
          <w:rFonts w:ascii="Georgia" w:hAnsi="Georgia"/>
          <w:b/>
          <w:bCs/>
          <w:sz w:val="24"/>
          <w:szCs w:val="24"/>
        </w:rPr>
      </w:pPr>
    </w:p>
    <w:p w14:paraId="5284DFD8" w14:textId="77777777" w:rsidR="00EA7C5C" w:rsidRPr="0007587D" w:rsidRDefault="00EA7C5C" w:rsidP="00326027">
      <w:pPr>
        <w:pStyle w:val="NoSpacing"/>
        <w:jc w:val="center"/>
        <w:rPr>
          <w:rFonts w:ascii="Georgia" w:hAnsi="Georgia"/>
          <w:b/>
          <w:bCs/>
          <w:sz w:val="24"/>
          <w:szCs w:val="24"/>
        </w:rPr>
      </w:pPr>
    </w:p>
    <w:p w14:paraId="2B8A473A" w14:textId="77777777" w:rsidR="00326027" w:rsidRPr="0007587D" w:rsidRDefault="00326027" w:rsidP="00326027">
      <w:pPr>
        <w:pStyle w:val="NoSpacing"/>
        <w:jc w:val="center"/>
        <w:rPr>
          <w:rFonts w:ascii="Georgia" w:hAnsi="Georgia"/>
          <w:b/>
          <w:bCs/>
          <w:sz w:val="28"/>
          <w:szCs w:val="28"/>
        </w:rPr>
      </w:pPr>
    </w:p>
    <w:p w14:paraId="72DB469F" w14:textId="77777777" w:rsidR="00326027" w:rsidRPr="0007587D" w:rsidRDefault="00326027" w:rsidP="00326027">
      <w:pPr>
        <w:pStyle w:val="BodyText3"/>
        <w:rPr>
          <w:rFonts w:ascii="Georgia" w:hAnsi="Georgia" w:cs="Calibri"/>
          <w:sz w:val="24"/>
          <w:szCs w:val="24"/>
        </w:rPr>
      </w:pPr>
      <w:r w:rsidRPr="0007587D">
        <w:rPr>
          <w:rFonts w:ascii="Georgia" w:hAnsi="Georgia" w:cs="Calibri"/>
          <w:sz w:val="24"/>
          <w:szCs w:val="24"/>
        </w:rPr>
        <w:t>Summary of Statutory Charge of Small Business Ombudsman Program: “The program is established to: resolve problems encountered by businesses dealing with other state agencies; facilitate responsiveness of State Government to small business needs; report to the commissioner and the Legislature on breakdowns in the economic delivery system, including problems encountered by businesses dealing with state agencies; assist businesses by referring businesses and persons to resources that provide the business services or assistance requested; provide comprehensive permit information and assistance; and serve as a central clearinghouse of information with respect to business assistance programs and services available in the State.”</w:t>
      </w:r>
    </w:p>
    <w:p w14:paraId="75BE48B5" w14:textId="77777777" w:rsidR="00EA7C5C" w:rsidRPr="0007587D" w:rsidRDefault="00EA7C5C" w:rsidP="00326027">
      <w:pPr>
        <w:pStyle w:val="BodyText3"/>
        <w:rPr>
          <w:rFonts w:ascii="Georgia" w:hAnsi="Georgia" w:cs="Calibri"/>
          <w:sz w:val="24"/>
          <w:szCs w:val="24"/>
        </w:rPr>
      </w:pPr>
    </w:p>
    <w:p w14:paraId="100A9511" w14:textId="6E650416" w:rsidR="00EA7C5C" w:rsidRPr="0007587D" w:rsidRDefault="00326027" w:rsidP="00326027">
      <w:pPr>
        <w:pStyle w:val="BodyText3"/>
        <w:rPr>
          <w:rFonts w:ascii="Georgia" w:hAnsi="Georgia" w:cs="Calibri"/>
          <w:sz w:val="24"/>
          <w:szCs w:val="24"/>
        </w:rPr>
      </w:pPr>
      <w:r w:rsidRPr="0007587D">
        <w:rPr>
          <w:rFonts w:ascii="Georgia" w:hAnsi="Georgia" w:cs="Calibri"/>
          <w:b/>
          <w:bCs/>
          <w:sz w:val="24"/>
          <w:szCs w:val="24"/>
        </w:rPr>
        <w:t>Statutorily, the ombudsman shall report to the Governor and the joint standing committee of the Legislature having jurisdiction over economic development matters about the program with any recommendations for changes in the statutes to improve the program and its delivery of services to businesses on an annual basis.</w:t>
      </w:r>
      <w:r w:rsidRPr="0007587D">
        <w:rPr>
          <w:rFonts w:ascii="Georgia" w:hAnsi="Georgia" w:cs="Calibri"/>
          <w:sz w:val="24"/>
          <w:szCs w:val="24"/>
        </w:rPr>
        <w:t xml:space="preserve"> </w:t>
      </w:r>
    </w:p>
    <w:p w14:paraId="461D5B0E" w14:textId="77777777" w:rsidR="00EA7C5C" w:rsidRPr="0007587D" w:rsidRDefault="00EA7C5C" w:rsidP="00326027">
      <w:pPr>
        <w:pStyle w:val="BodyText3"/>
        <w:rPr>
          <w:rFonts w:ascii="Georgia" w:hAnsi="Georgia" w:cs="Calibri"/>
          <w:sz w:val="24"/>
          <w:szCs w:val="24"/>
        </w:rPr>
      </w:pPr>
    </w:p>
    <w:p w14:paraId="3832A445" w14:textId="77777777" w:rsidR="00326027" w:rsidRPr="0007587D" w:rsidRDefault="00326027" w:rsidP="00326027">
      <w:pPr>
        <w:pStyle w:val="BodyText3"/>
        <w:rPr>
          <w:rFonts w:ascii="Georgia" w:hAnsi="Georgia" w:cs="Calibri"/>
          <w:sz w:val="24"/>
          <w:szCs w:val="24"/>
        </w:rPr>
      </w:pPr>
      <w:r w:rsidRPr="0007587D">
        <w:rPr>
          <w:rFonts w:ascii="Georgia" w:hAnsi="Georgia" w:cs="Calibri"/>
          <w:b/>
          <w:bCs/>
          <w:sz w:val="24"/>
          <w:szCs w:val="24"/>
        </w:rPr>
        <w:t xml:space="preserve">Overall recommendations: </w:t>
      </w:r>
      <w:r w:rsidRPr="0007587D">
        <w:rPr>
          <w:rFonts w:ascii="Georgia" w:hAnsi="Georgia" w:cs="Calibri"/>
          <w:sz w:val="24"/>
          <w:szCs w:val="24"/>
        </w:rPr>
        <w:t xml:space="preserve">We do not have any specific </w:t>
      </w:r>
      <w:r w:rsidRPr="0007587D">
        <w:rPr>
          <w:rFonts w:ascii="Georgia" w:hAnsi="Georgia" w:cs="Calibri"/>
          <w:b/>
          <w:bCs/>
          <w:sz w:val="24"/>
          <w:szCs w:val="24"/>
        </w:rPr>
        <w:t>statutory</w:t>
      </w:r>
      <w:r w:rsidRPr="0007587D">
        <w:rPr>
          <w:rFonts w:ascii="Georgia" w:hAnsi="Georgia" w:cs="Calibri"/>
          <w:sz w:val="24"/>
          <w:szCs w:val="24"/>
        </w:rPr>
        <w:t xml:space="preserve"> changes to recommend for this legislative session, as the DECD team, in partnership with the other appropriate State agencies, are still working to implement many of the elements of the ombudsman program that are outlined in statute, which are further supported by the Actions recommended in the </w:t>
      </w:r>
      <w:hyperlink r:id="rId8" w:history="1">
        <w:r w:rsidRPr="0007587D">
          <w:rPr>
            <w:rStyle w:val="Hyperlink"/>
            <w:rFonts w:ascii="Georgia" w:hAnsi="Georgia" w:cs="Calibri"/>
            <w:sz w:val="24"/>
            <w:szCs w:val="24"/>
          </w:rPr>
          <w:t>10-Year Economic Development Strategy</w:t>
        </w:r>
      </w:hyperlink>
      <w:r w:rsidRPr="0007587D">
        <w:rPr>
          <w:rFonts w:ascii="Georgia" w:hAnsi="Georgia" w:cs="Calibri"/>
          <w:sz w:val="24"/>
          <w:szCs w:val="24"/>
        </w:rPr>
        <w:t xml:space="preserve"> within Strategy Area F: Maintain Stable and Predictable Business Rules. As part of this work over the coming years, DECD and other partner agencies may come to the legislature with recommended statutory changes to better meet the needs of Maine’s small businesses. </w:t>
      </w:r>
    </w:p>
    <w:p w14:paraId="09D4C788" w14:textId="77777777" w:rsidR="002861B3" w:rsidRPr="0007587D" w:rsidRDefault="002861B3" w:rsidP="00326027">
      <w:pPr>
        <w:pStyle w:val="BodyText3"/>
        <w:rPr>
          <w:rFonts w:ascii="Georgia" w:hAnsi="Georgia" w:cs="Calibri"/>
          <w:b/>
          <w:bCs/>
          <w:sz w:val="24"/>
          <w:szCs w:val="24"/>
        </w:rPr>
      </w:pPr>
    </w:p>
    <w:p w14:paraId="169DA628" w14:textId="77777777" w:rsidR="0042489D" w:rsidRDefault="0042489D" w:rsidP="00EA7C5C">
      <w:pPr>
        <w:pStyle w:val="BodyText3"/>
        <w:jc w:val="center"/>
        <w:rPr>
          <w:rFonts w:ascii="Georgia" w:hAnsi="Georgia" w:cs="Calibri"/>
          <w:b/>
          <w:bCs/>
          <w:sz w:val="24"/>
          <w:szCs w:val="24"/>
        </w:rPr>
      </w:pPr>
    </w:p>
    <w:p w14:paraId="68A34341" w14:textId="345AB34F" w:rsidR="00EA7C5C" w:rsidRPr="0007587D" w:rsidRDefault="00326027" w:rsidP="00EA7C5C">
      <w:pPr>
        <w:pStyle w:val="BodyText3"/>
        <w:jc w:val="center"/>
        <w:rPr>
          <w:rFonts w:ascii="Georgia" w:hAnsi="Georgia" w:cs="Calibri"/>
          <w:b/>
          <w:bCs/>
          <w:sz w:val="24"/>
          <w:szCs w:val="24"/>
        </w:rPr>
      </w:pPr>
      <w:r w:rsidRPr="0007587D">
        <w:rPr>
          <w:rFonts w:ascii="Georgia" w:hAnsi="Georgia" w:cs="Calibri"/>
          <w:b/>
          <w:bCs/>
          <w:sz w:val="24"/>
          <w:szCs w:val="24"/>
        </w:rPr>
        <w:lastRenderedPageBreak/>
        <w:t>2025 Year in Review:</w:t>
      </w:r>
    </w:p>
    <w:p w14:paraId="7D977F87" w14:textId="77777777" w:rsidR="0007587D" w:rsidRPr="0007587D" w:rsidRDefault="0007587D" w:rsidP="00EA7C5C">
      <w:pPr>
        <w:pStyle w:val="BodyText3"/>
        <w:jc w:val="center"/>
        <w:rPr>
          <w:rFonts w:ascii="Georgia" w:hAnsi="Georgia" w:cs="Calibri"/>
          <w:b/>
          <w:bCs/>
          <w:sz w:val="24"/>
          <w:szCs w:val="24"/>
        </w:rPr>
      </w:pPr>
    </w:p>
    <w:p w14:paraId="744E7235" w14:textId="008053E5" w:rsidR="0007587D" w:rsidRPr="0007587D" w:rsidRDefault="00326027" w:rsidP="00EA7C5C">
      <w:pPr>
        <w:rPr>
          <w:rFonts w:ascii="Georgia" w:hAnsi="Georgia"/>
        </w:rPr>
      </w:pPr>
      <w:r w:rsidRPr="0007587D">
        <w:rPr>
          <w:rFonts w:ascii="Georgia" w:hAnsi="Georgia"/>
        </w:rPr>
        <w:t xml:space="preserve">2025 was characterized by uncertainty </w:t>
      </w:r>
      <w:r w:rsidR="00FF0711" w:rsidRPr="0007587D">
        <w:rPr>
          <w:rFonts w:ascii="Georgia" w:hAnsi="Georgia"/>
        </w:rPr>
        <w:t>with</w:t>
      </w:r>
      <w:r w:rsidRPr="0007587D">
        <w:rPr>
          <w:rFonts w:ascii="Georgia" w:hAnsi="Georgia"/>
        </w:rPr>
        <w:t xml:space="preserve"> Maine businesses </w:t>
      </w:r>
      <w:r w:rsidR="00FF0711" w:rsidRPr="0007587D">
        <w:rPr>
          <w:rFonts w:ascii="Georgia" w:hAnsi="Georgia"/>
        </w:rPr>
        <w:t>having</w:t>
      </w:r>
      <w:r w:rsidRPr="0007587D">
        <w:rPr>
          <w:rFonts w:ascii="Georgia" w:hAnsi="Georgia"/>
        </w:rPr>
        <w:t xml:space="preserve"> to navigate </w:t>
      </w:r>
      <w:r w:rsidR="001F2566" w:rsidRPr="0007587D">
        <w:rPr>
          <w:rFonts w:ascii="Georgia" w:hAnsi="Georgia"/>
        </w:rPr>
        <w:t>national topics such as t</w:t>
      </w:r>
      <w:r w:rsidRPr="0007587D">
        <w:rPr>
          <w:rFonts w:ascii="Georgia" w:hAnsi="Georgia"/>
        </w:rPr>
        <w:t xml:space="preserve">ariffs, </w:t>
      </w:r>
      <w:r w:rsidR="00F55DFD" w:rsidRPr="0007587D">
        <w:rPr>
          <w:rFonts w:ascii="Georgia" w:hAnsi="Georgia"/>
        </w:rPr>
        <w:t xml:space="preserve">tax changes, </w:t>
      </w:r>
      <w:r w:rsidR="00F55DFD" w:rsidRPr="0007587D">
        <w:rPr>
          <w:rFonts w:ascii="Georgia" w:hAnsi="Georgia"/>
        </w:rPr>
        <w:t>the quickly evolving landscape of artificial intelligence (AI)</w:t>
      </w:r>
      <w:r w:rsidR="00F55DFD" w:rsidRPr="0007587D">
        <w:rPr>
          <w:rFonts w:ascii="Georgia" w:hAnsi="Georgia"/>
        </w:rPr>
        <w:t xml:space="preserve"> and </w:t>
      </w:r>
      <w:r w:rsidRPr="0007587D">
        <w:rPr>
          <w:rFonts w:ascii="Georgia" w:hAnsi="Georgia"/>
        </w:rPr>
        <w:t>relations with Canad</w:t>
      </w:r>
      <w:r w:rsidR="00F55DFD" w:rsidRPr="0007587D">
        <w:rPr>
          <w:rFonts w:ascii="Georgia" w:hAnsi="Georgia"/>
        </w:rPr>
        <w:t>a</w:t>
      </w:r>
      <w:r w:rsidRPr="0007587D">
        <w:rPr>
          <w:rFonts w:ascii="Georgia" w:hAnsi="Georgia"/>
        </w:rPr>
        <w:t>.</w:t>
      </w:r>
      <w:r w:rsidR="00FF0711" w:rsidRPr="0007587D">
        <w:rPr>
          <w:rFonts w:ascii="Georgia" w:hAnsi="Georgia"/>
        </w:rPr>
        <w:t xml:space="preserve"> </w:t>
      </w:r>
      <w:r w:rsidR="004E698D" w:rsidRPr="0007587D">
        <w:rPr>
          <w:rFonts w:ascii="Georgia" w:hAnsi="Georgia"/>
        </w:rPr>
        <w:t xml:space="preserve">Some industries found it challenging to adapt depending on how regional/international their supply chains were. </w:t>
      </w:r>
      <w:r w:rsidR="00F55DFD" w:rsidRPr="0007587D">
        <w:rPr>
          <w:rFonts w:ascii="Georgia" w:hAnsi="Georgia"/>
        </w:rPr>
        <w:t>Maine’s unique</w:t>
      </w:r>
      <w:r w:rsidR="002861B3" w:rsidRPr="0007587D">
        <w:rPr>
          <w:rFonts w:ascii="Georgia" w:hAnsi="Georgia"/>
        </w:rPr>
        <w:t xml:space="preserve"> regions</w:t>
      </w:r>
      <w:r w:rsidR="004E698D" w:rsidRPr="0007587D">
        <w:rPr>
          <w:rFonts w:ascii="Georgia" w:hAnsi="Georgia"/>
        </w:rPr>
        <w:t xml:space="preserve"> and business sectors</w:t>
      </w:r>
      <w:r w:rsidR="001F2566" w:rsidRPr="0007587D">
        <w:rPr>
          <w:rFonts w:ascii="Georgia" w:hAnsi="Georgia"/>
        </w:rPr>
        <w:t xml:space="preserve"> moved through each of these topics in </w:t>
      </w:r>
      <w:r w:rsidR="002861B3" w:rsidRPr="0007587D">
        <w:rPr>
          <w:rFonts w:ascii="Georgia" w:hAnsi="Georgia"/>
        </w:rPr>
        <w:t>various</w:t>
      </w:r>
      <w:r w:rsidR="001F2566" w:rsidRPr="0007587D">
        <w:rPr>
          <w:rFonts w:ascii="Georgia" w:hAnsi="Georgia"/>
        </w:rPr>
        <w:t xml:space="preserve"> ways.</w:t>
      </w:r>
      <w:r w:rsidR="00F55DFD" w:rsidRPr="0007587D">
        <w:rPr>
          <w:rFonts w:ascii="Georgia" w:hAnsi="Georgia"/>
        </w:rPr>
        <w:t xml:space="preserve"> </w:t>
      </w:r>
    </w:p>
    <w:p w14:paraId="1BB6FFE8" w14:textId="77777777" w:rsidR="00F55DFD" w:rsidRDefault="00F55DFD" w:rsidP="00EA7C5C">
      <w:pPr>
        <w:rPr>
          <w:rFonts w:ascii="Georgia" w:hAnsi="Georgia"/>
        </w:rPr>
      </w:pPr>
    </w:p>
    <w:p w14:paraId="36B3B746" w14:textId="77777777" w:rsidR="006439B8" w:rsidRPr="0007587D" w:rsidRDefault="006439B8" w:rsidP="00EA7C5C">
      <w:pPr>
        <w:rPr>
          <w:rFonts w:ascii="Georgia" w:hAnsi="Georgia"/>
        </w:rPr>
      </w:pPr>
    </w:p>
    <w:p w14:paraId="063D95CE" w14:textId="06DD2B82" w:rsidR="00326027" w:rsidRPr="0007587D" w:rsidRDefault="001F2566" w:rsidP="00EA7C5C">
      <w:pPr>
        <w:rPr>
          <w:rFonts w:ascii="Georgia" w:hAnsi="Georgia"/>
        </w:rPr>
      </w:pPr>
      <w:r w:rsidRPr="0007587D">
        <w:rPr>
          <w:rFonts w:ascii="Georgia" w:hAnsi="Georgia"/>
        </w:rPr>
        <w:t xml:space="preserve">At a state level, 2025 was the first year of the Dirigo Business Incentive Program. </w:t>
      </w:r>
      <w:r w:rsidR="004E698D" w:rsidRPr="0007587D">
        <w:rPr>
          <w:rFonts w:ascii="Georgia" w:hAnsi="Georgia"/>
        </w:rPr>
        <w:t xml:space="preserve"> Maine</w:t>
      </w:r>
      <w:r w:rsidRPr="0007587D">
        <w:rPr>
          <w:rFonts w:ascii="Georgia" w:hAnsi="Georgia"/>
        </w:rPr>
        <w:t xml:space="preserve"> sunset the Pine Tree Development Zone Program in favor of a simpler and more streamlined incentive program.</w:t>
      </w:r>
      <w:r w:rsidR="004E698D" w:rsidRPr="0007587D">
        <w:rPr>
          <w:rFonts w:ascii="Georgia" w:hAnsi="Georgia"/>
        </w:rPr>
        <w:t xml:space="preserve">  The State</w:t>
      </w:r>
      <w:r w:rsidR="002861B3" w:rsidRPr="0007587D">
        <w:rPr>
          <w:rFonts w:ascii="Georgia" w:hAnsi="Georgia"/>
        </w:rPr>
        <w:t xml:space="preserve"> also made investments in life sciences and conducted outreach regarding the blue economy. So</w:t>
      </w:r>
      <w:r w:rsidR="004E698D" w:rsidRPr="0007587D">
        <w:rPr>
          <w:rFonts w:ascii="Georgia" w:hAnsi="Georgia"/>
        </w:rPr>
        <w:t>,</w:t>
      </w:r>
      <w:r w:rsidR="002861B3" w:rsidRPr="0007587D">
        <w:rPr>
          <w:rFonts w:ascii="Georgia" w:hAnsi="Georgia"/>
        </w:rPr>
        <w:t xml:space="preserve"> while there was national </w:t>
      </w:r>
      <w:r w:rsidR="009B28A8" w:rsidRPr="0007587D">
        <w:rPr>
          <w:rFonts w:ascii="Georgia" w:hAnsi="Georgia"/>
        </w:rPr>
        <w:t xml:space="preserve">and global uncertainty, Maine </w:t>
      </w:r>
      <w:r w:rsidR="004E698D" w:rsidRPr="0007587D">
        <w:rPr>
          <w:rFonts w:ascii="Georgia" w:hAnsi="Georgia"/>
        </w:rPr>
        <w:t>continues to make</w:t>
      </w:r>
      <w:r w:rsidR="009B28A8" w:rsidRPr="0007587D">
        <w:rPr>
          <w:rFonts w:ascii="Georgia" w:hAnsi="Georgia"/>
        </w:rPr>
        <w:t xml:space="preserve"> key investments in supporting entrepreneurship and small businesses. </w:t>
      </w:r>
    </w:p>
    <w:p w14:paraId="39E68092" w14:textId="77777777" w:rsidR="0007587D" w:rsidRDefault="0007587D" w:rsidP="00804B22">
      <w:pPr>
        <w:rPr>
          <w:rFonts w:ascii="Georgia" w:hAnsi="Georgia"/>
        </w:rPr>
      </w:pPr>
    </w:p>
    <w:p w14:paraId="11728C9B" w14:textId="77777777" w:rsidR="006439B8" w:rsidRPr="0007587D" w:rsidRDefault="006439B8" w:rsidP="00804B22">
      <w:pPr>
        <w:rPr>
          <w:rFonts w:ascii="Georgia" w:hAnsi="Georgia"/>
        </w:rPr>
      </w:pPr>
    </w:p>
    <w:p w14:paraId="531B0EF6" w14:textId="77777777" w:rsidR="00CD3EA5" w:rsidRPr="0007587D" w:rsidRDefault="00CD3EA5" w:rsidP="00CD3EA5">
      <w:pPr>
        <w:rPr>
          <w:rFonts w:ascii="Georgia" w:hAnsi="Georgia"/>
        </w:rPr>
      </w:pPr>
      <w:r w:rsidRPr="0007587D">
        <w:rPr>
          <w:rFonts w:ascii="Georgia" w:hAnsi="Georgia"/>
        </w:rPr>
        <w:t>Federal tariff discussions at the beginning of the year created significant questions and confusion for Maine businesses. The back-and-forth rollout proved difficult for businesses to follow, and many turned to experts for guidance. The Maine International Trade Center (MITC) played an important role in deciphering and communicating developments so Maine businesses could stay informed. Wade Merritt, President of MITC, and his entire team worked exceptionally hard to provide context and support as businesses navigated this new reality.</w:t>
      </w:r>
    </w:p>
    <w:p w14:paraId="01AAB587" w14:textId="77777777" w:rsidR="0007587D" w:rsidRDefault="0007587D" w:rsidP="00804B22">
      <w:pPr>
        <w:rPr>
          <w:rFonts w:ascii="Georgia" w:hAnsi="Georgia"/>
        </w:rPr>
      </w:pPr>
    </w:p>
    <w:p w14:paraId="07699666" w14:textId="77777777" w:rsidR="006439B8" w:rsidRPr="0007587D" w:rsidRDefault="006439B8" w:rsidP="00804B22">
      <w:pPr>
        <w:rPr>
          <w:rFonts w:ascii="Georgia" w:hAnsi="Georgia"/>
        </w:rPr>
      </w:pPr>
    </w:p>
    <w:p w14:paraId="17C04125" w14:textId="2601AF51" w:rsidR="00444521" w:rsidRDefault="00444521" w:rsidP="00804B22">
      <w:pPr>
        <w:rPr>
          <w:rFonts w:ascii="Georgia" w:hAnsi="Georgia"/>
        </w:rPr>
      </w:pPr>
      <w:r w:rsidRPr="0007587D">
        <w:rPr>
          <w:rFonts w:ascii="Georgia" w:hAnsi="Georgia"/>
        </w:rPr>
        <w:t xml:space="preserve">The outcome of these </w:t>
      </w:r>
      <w:r w:rsidR="00CD3EA5" w:rsidRPr="0007587D">
        <w:rPr>
          <w:rFonts w:ascii="Georgia" w:hAnsi="Georgia"/>
        </w:rPr>
        <w:t xml:space="preserve">tariffs </w:t>
      </w:r>
      <w:r w:rsidRPr="0007587D">
        <w:rPr>
          <w:rFonts w:ascii="Georgia" w:hAnsi="Georgia"/>
        </w:rPr>
        <w:t xml:space="preserve">has had an impact on the Maine economy with some businesses facing the brunt of the cost. </w:t>
      </w:r>
      <w:r w:rsidR="006E1322" w:rsidRPr="0007587D">
        <w:rPr>
          <w:rFonts w:ascii="Georgia" w:hAnsi="Georgia"/>
        </w:rPr>
        <w:t xml:space="preserve">Tracking the impact with Canada specifically, </w:t>
      </w:r>
      <w:r w:rsidR="00CD3EA5" w:rsidRPr="0007587D">
        <w:rPr>
          <w:rFonts w:ascii="Georgia" w:hAnsi="Georgia"/>
        </w:rPr>
        <w:t>MITC</w:t>
      </w:r>
      <w:r w:rsidR="006E1322" w:rsidRPr="0007587D">
        <w:rPr>
          <w:rFonts w:ascii="Georgia" w:hAnsi="Georgia"/>
        </w:rPr>
        <w:t xml:space="preserve"> reported that exports from Maine to Canada are down nearly 20%. Forest products were hit hardest as Canadians changed habits.</w:t>
      </w:r>
      <w:r w:rsidR="009B28A8" w:rsidRPr="0007587D">
        <w:rPr>
          <w:rFonts w:ascii="Georgia" w:hAnsi="Georgia"/>
        </w:rPr>
        <w:t xml:space="preserve"> </w:t>
      </w:r>
      <w:r w:rsidR="00CD3EA5" w:rsidRPr="0007587D">
        <w:rPr>
          <w:rFonts w:ascii="Georgia" w:hAnsi="Georgia"/>
        </w:rPr>
        <w:t>Visitors from Canada accounted for 4% of overall visitation this summer (2025) down 3% points from 2024 when Canadians accounted for 7% of summer visitation.</w:t>
      </w:r>
      <w:r w:rsidR="00CD3EA5" w:rsidRPr="0007587D">
        <w:rPr>
          <w:rFonts w:ascii="Georgia" w:hAnsi="Georgia"/>
        </w:rPr>
        <w:t xml:space="preserve"> </w:t>
      </w:r>
      <w:r w:rsidR="009B28A8" w:rsidRPr="0007587D">
        <w:rPr>
          <w:rFonts w:ascii="Georgia" w:hAnsi="Georgia"/>
        </w:rPr>
        <w:t>These</w:t>
      </w:r>
      <w:r w:rsidR="006E1322" w:rsidRPr="0007587D">
        <w:rPr>
          <w:rFonts w:ascii="Georgia" w:hAnsi="Georgia"/>
        </w:rPr>
        <w:t xml:space="preserve"> figures were reported to the Legislature’s </w:t>
      </w:r>
      <w:r w:rsidR="004973A5" w:rsidRPr="0007587D">
        <w:rPr>
          <w:rFonts w:ascii="Georgia" w:hAnsi="Georgia"/>
        </w:rPr>
        <w:t>M</w:t>
      </w:r>
      <w:r w:rsidR="006E1322" w:rsidRPr="0007587D">
        <w:rPr>
          <w:rFonts w:ascii="Georgia" w:hAnsi="Georgia"/>
        </w:rPr>
        <w:t>aine-Canadian Advisory Commission in December of 2025.</w:t>
      </w:r>
      <w:r w:rsidR="004973A5" w:rsidRPr="0007587D">
        <w:rPr>
          <w:rStyle w:val="FootnoteReference"/>
          <w:rFonts w:ascii="Georgia" w:hAnsi="Georgia"/>
        </w:rPr>
        <w:footnoteReference w:id="1"/>
      </w:r>
      <w:r w:rsidR="006E1322" w:rsidRPr="0007587D">
        <w:rPr>
          <w:rFonts w:ascii="Georgia" w:hAnsi="Georgia"/>
        </w:rPr>
        <w:t xml:space="preserve"> </w:t>
      </w:r>
    </w:p>
    <w:p w14:paraId="4B4D0598" w14:textId="77777777" w:rsidR="006439B8" w:rsidRDefault="006439B8" w:rsidP="00804B22">
      <w:pPr>
        <w:rPr>
          <w:rFonts w:ascii="Georgia" w:hAnsi="Georgia"/>
        </w:rPr>
      </w:pPr>
    </w:p>
    <w:p w14:paraId="7A7D5F2F" w14:textId="77777777" w:rsidR="006439B8" w:rsidRPr="0007587D" w:rsidRDefault="006439B8" w:rsidP="00804B22">
      <w:pPr>
        <w:rPr>
          <w:rFonts w:ascii="Georgia" w:hAnsi="Georgia"/>
        </w:rPr>
      </w:pPr>
    </w:p>
    <w:p w14:paraId="458FE00A" w14:textId="77777777" w:rsidR="004A7291" w:rsidRPr="0007587D" w:rsidRDefault="004A7291" w:rsidP="00804B22">
      <w:pPr>
        <w:rPr>
          <w:rFonts w:ascii="Georgia" w:hAnsi="Georgia"/>
        </w:rPr>
      </w:pPr>
    </w:p>
    <w:p w14:paraId="3B92BC6F" w14:textId="45BE0045" w:rsidR="00444521" w:rsidRPr="0007587D" w:rsidRDefault="00CD3EA5" w:rsidP="00804B22">
      <w:pPr>
        <w:rPr>
          <w:rFonts w:ascii="Georgia" w:hAnsi="Georgia"/>
        </w:rPr>
      </w:pPr>
      <w:r w:rsidRPr="0007587D">
        <w:rPr>
          <w:rFonts w:ascii="Georgia" w:hAnsi="Georgia"/>
        </w:rPr>
        <w:lastRenderedPageBreak/>
        <w:t xml:space="preserve">The tourism numbers were not a surprise and, in fact, were feared to be much worse at the beginning of the traditional tourist season. While overall tourism numbers were down 6%, the trend of visitors staying longer continued. As a result, tourism spending in Maine declined less than in other markets. Maine’s reduction in visitors was primarily driven by fewer </w:t>
      </w:r>
      <w:r w:rsidR="00E27442" w:rsidRPr="0007587D">
        <w:rPr>
          <w:rFonts w:ascii="Georgia" w:hAnsi="Georgia"/>
        </w:rPr>
        <w:t>day visitors</w:t>
      </w:r>
      <w:r w:rsidRPr="0007587D">
        <w:rPr>
          <w:rFonts w:ascii="Georgia" w:hAnsi="Georgia"/>
        </w:rPr>
        <w:t>, which the Maine Office of Tourism reports spend less than overnight visitors.</w:t>
      </w:r>
      <w:r w:rsidR="004973A5" w:rsidRPr="0007587D">
        <w:rPr>
          <w:rStyle w:val="FootnoteReference"/>
          <w:rFonts w:ascii="Georgia" w:hAnsi="Georgia"/>
        </w:rPr>
        <w:footnoteReference w:id="2"/>
      </w:r>
    </w:p>
    <w:p w14:paraId="0753B390" w14:textId="77777777" w:rsidR="004A7291" w:rsidRPr="0007587D" w:rsidRDefault="004A7291" w:rsidP="00804B22">
      <w:pPr>
        <w:rPr>
          <w:rFonts w:ascii="Georgia" w:hAnsi="Georgia"/>
        </w:rPr>
      </w:pPr>
    </w:p>
    <w:p w14:paraId="3BF2EA79" w14:textId="77777777" w:rsidR="0007587D" w:rsidRPr="0007587D" w:rsidRDefault="0007587D" w:rsidP="00804B22">
      <w:pPr>
        <w:rPr>
          <w:rFonts w:ascii="Georgia" w:hAnsi="Georgia"/>
        </w:rPr>
      </w:pPr>
    </w:p>
    <w:p w14:paraId="311C487F" w14:textId="0138ADEE" w:rsidR="004A7291" w:rsidRPr="0007587D" w:rsidRDefault="004973A5" w:rsidP="00804B22">
      <w:pPr>
        <w:rPr>
          <w:rFonts w:ascii="Georgia" w:hAnsi="Georgia"/>
        </w:rPr>
      </w:pPr>
      <w:r w:rsidRPr="0007587D">
        <w:rPr>
          <w:rFonts w:ascii="Georgia" w:hAnsi="Georgia"/>
        </w:rPr>
        <w:t xml:space="preserve">While the tourism numbers </w:t>
      </w:r>
      <w:r w:rsidR="00C7060C" w:rsidRPr="0007587D">
        <w:rPr>
          <w:rFonts w:ascii="Georgia" w:hAnsi="Georgia"/>
        </w:rPr>
        <w:t xml:space="preserve">are better than expected, many border towns are experiencing </w:t>
      </w:r>
      <w:r w:rsidR="00E27442" w:rsidRPr="0007587D">
        <w:rPr>
          <w:rFonts w:ascii="Georgia" w:hAnsi="Georgia"/>
        </w:rPr>
        <w:t xml:space="preserve">significant </w:t>
      </w:r>
      <w:r w:rsidR="00C7060C" w:rsidRPr="0007587D">
        <w:rPr>
          <w:rFonts w:ascii="Georgia" w:hAnsi="Georgia"/>
        </w:rPr>
        <w:t>hardships. The Office of Business Development fielded inquiries from</w:t>
      </w:r>
      <w:r w:rsidR="00A4189D" w:rsidRPr="0007587D">
        <w:rPr>
          <w:rFonts w:ascii="Georgia" w:hAnsi="Georgia"/>
        </w:rPr>
        <w:t xml:space="preserve"> struggling </w:t>
      </w:r>
      <w:r w:rsidR="00E27442" w:rsidRPr="0007587D">
        <w:rPr>
          <w:rFonts w:ascii="Georgia" w:hAnsi="Georgia"/>
        </w:rPr>
        <w:t xml:space="preserve">business </w:t>
      </w:r>
      <w:r w:rsidR="00A4189D" w:rsidRPr="0007587D">
        <w:rPr>
          <w:rFonts w:ascii="Georgia" w:hAnsi="Georgia"/>
        </w:rPr>
        <w:t>owners that depend on Canadian customers</w:t>
      </w:r>
      <w:r w:rsidR="00C7060C" w:rsidRPr="0007587D">
        <w:rPr>
          <w:rFonts w:ascii="Georgia" w:hAnsi="Georgia"/>
        </w:rPr>
        <w:t xml:space="preserve">. Not only are </w:t>
      </w:r>
      <w:r w:rsidR="00A4189D" w:rsidRPr="0007587D">
        <w:rPr>
          <w:rFonts w:ascii="Georgia" w:hAnsi="Georgia"/>
        </w:rPr>
        <w:t xml:space="preserve">these </w:t>
      </w:r>
      <w:r w:rsidR="00C7060C" w:rsidRPr="0007587D">
        <w:rPr>
          <w:rFonts w:ascii="Georgia" w:hAnsi="Georgia"/>
        </w:rPr>
        <w:t>businesses facing tariffs, but they also have fewer shoppers visiting their stores. Th</w:t>
      </w:r>
      <w:r w:rsidR="00A4189D" w:rsidRPr="0007587D">
        <w:rPr>
          <w:rFonts w:ascii="Georgia" w:hAnsi="Georgia"/>
        </w:rPr>
        <w:t>is</w:t>
      </w:r>
      <w:r w:rsidR="00E27442" w:rsidRPr="0007587D">
        <w:rPr>
          <w:rFonts w:ascii="Georgia" w:hAnsi="Georgia"/>
        </w:rPr>
        <w:t xml:space="preserve"> decline followed</w:t>
      </w:r>
      <w:r w:rsidR="00C7060C" w:rsidRPr="0007587D">
        <w:rPr>
          <w:rFonts w:ascii="Georgia" w:hAnsi="Georgia"/>
        </w:rPr>
        <w:t xml:space="preserve"> Canad</w:t>
      </w:r>
      <w:r w:rsidR="00E27442" w:rsidRPr="0007587D">
        <w:rPr>
          <w:rFonts w:ascii="Georgia" w:hAnsi="Georgia"/>
        </w:rPr>
        <w:t>a’s</w:t>
      </w:r>
      <w:r w:rsidR="00C7060C" w:rsidRPr="0007587D">
        <w:rPr>
          <w:rFonts w:ascii="Georgia" w:hAnsi="Georgia"/>
        </w:rPr>
        <w:t xml:space="preserve"> response to the suggestion of being the 51</w:t>
      </w:r>
      <w:r w:rsidR="00622B20" w:rsidRPr="0007587D">
        <w:rPr>
          <w:rFonts w:ascii="Georgia" w:hAnsi="Georgia"/>
          <w:vertAlign w:val="superscript"/>
        </w:rPr>
        <w:t>st</w:t>
      </w:r>
      <w:r w:rsidR="00622B20" w:rsidRPr="0007587D">
        <w:rPr>
          <w:rFonts w:ascii="Georgia" w:hAnsi="Georgia"/>
        </w:rPr>
        <w:t xml:space="preserve"> state.</w:t>
      </w:r>
      <w:r w:rsidR="00A4189D" w:rsidRPr="0007587D">
        <w:rPr>
          <w:rFonts w:ascii="Georgia" w:hAnsi="Georgia"/>
        </w:rPr>
        <w:t xml:space="preserve"> Governor Mills did attempt to alleviate tensions by visiting Canada </w:t>
      </w:r>
      <w:r w:rsidR="002861B3" w:rsidRPr="0007587D">
        <w:rPr>
          <w:rFonts w:ascii="Georgia" w:hAnsi="Georgia"/>
        </w:rPr>
        <w:t xml:space="preserve">and </w:t>
      </w:r>
      <w:r w:rsidR="00E27442" w:rsidRPr="0007587D">
        <w:rPr>
          <w:rFonts w:ascii="Georgia" w:hAnsi="Georgia"/>
        </w:rPr>
        <w:t>challenging</w:t>
      </w:r>
      <w:r w:rsidR="00A4189D" w:rsidRPr="0007587D">
        <w:rPr>
          <w:rFonts w:ascii="Georgia" w:hAnsi="Georgia"/>
        </w:rPr>
        <w:t xml:space="preserve"> a</w:t>
      </w:r>
      <w:r w:rsidR="00E27442" w:rsidRPr="0007587D">
        <w:rPr>
          <w:rFonts w:ascii="Georgia" w:hAnsi="Georgia"/>
        </w:rPr>
        <w:t>n International Friendly</w:t>
      </w:r>
      <w:r w:rsidR="00A4189D" w:rsidRPr="0007587D">
        <w:rPr>
          <w:rFonts w:ascii="Georgia" w:hAnsi="Georgia"/>
        </w:rPr>
        <w:t xml:space="preserve"> soccer match between </w:t>
      </w:r>
      <w:r w:rsidR="002861B3" w:rsidRPr="0007587D">
        <w:rPr>
          <w:rFonts w:ascii="Georgia" w:hAnsi="Georgia"/>
        </w:rPr>
        <w:t>the Halifax Wanderers and the Portland Hearts of Pine. During Governor</w:t>
      </w:r>
      <w:r w:rsidR="009A24E3" w:rsidRPr="0007587D">
        <w:rPr>
          <w:rFonts w:ascii="Georgia" w:hAnsi="Georgia"/>
        </w:rPr>
        <w:t xml:space="preserve"> Mill</w:t>
      </w:r>
      <w:r w:rsidR="002861B3" w:rsidRPr="0007587D">
        <w:rPr>
          <w:rFonts w:ascii="Georgia" w:hAnsi="Georgia"/>
        </w:rPr>
        <w:t xml:space="preserve">s visit to Canada she met with businesses with ties to Maine, </w:t>
      </w:r>
      <w:r w:rsidR="00E27442" w:rsidRPr="0007587D">
        <w:rPr>
          <w:rFonts w:ascii="Georgia" w:hAnsi="Georgia"/>
        </w:rPr>
        <w:t>C</w:t>
      </w:r>
      <w:r w:rsidR="002861B3" w:rsidRPr="0007587D">
        <w:rPr>
          <w:rFonts w:ascii="Georgia" w:hAnsi="Georgia"/>
        </w:rPr>
        <w:t xml:space="preserve">hambers of </w:t>
      </w:r>
      <w:r w:rsidR="00E27442" w:rsidRPr="0007587D">
        <w:rPr>
          <w:rFonts w:ascii="Georgia" w:hAnsi="Georgia"/>
        </w:rPr>
        <w:t>C</w:t>
      </w:r>
      <w:r w:rsidR="002861B3" w:rsidRPr="0007587D">
        <w:rPr>
          <w:rFonts w:ascii="Georgia" w:hAnsi="Georgia"/>
        </w:rPr>
        <w:t>ommerce, and provincial and municipal leaders.</w:t>
      </w:r>
      <w:r w:rsidR="002861B3" w:rsidRPr="0007587D">
        <w:rPr>
          <w:rStyle w:val="FootnoteReference"/>
          <w:rFonts w:ascii="Georgia" w:hAnsi="Georgia"/>
        </w:rPr>
        <w:footnoteReference w:id="3"/>
      </w:r>
    </w:p>
    <w:p w14:paraId="2515F7EC" w14:textId="77777777" w:rsidR="002861B3" w:rsidRPr="0007587D" w:rsidRDefault="002861B3" w:rsidP="00804B22">
      <w:pPr>
        <w:rPr>
          <w:rFonts w:ascii="Georgia" w:hAnsi="Georgia"/>
        </w:rPr>
      </w:pPr>
    </w:p>
    <w:p w14:paraId="0C7DD48B" w14:textId="77777777" w:rsidR="0007587D" w:rsidRPr="0007587D" w:rsidRDefault="0007587D" w:rsidP="00804B22">
      <w:pPr>
        <w:rPr>
          <w:rFonts w:ascii="Georgia" w:hAnsi="Georgia"/>
        </w:rPr>
      </w:pPr>
    </w:p>
    <w:p w14:paraId="56D4CCA9" w14:textId="5703410E" w:rsidR="002861B3" w:rsidRPr="0007587D" w:rsidRDefault="002861B3" w:rsidP="00804B22">
      <w:pPr>
        <w:rPr>
          <w:rFonts w:ascii="Georgia" w:hAnsi="Georgia"/>
        </w:rPr>
      </w:pPr>
      <w:r w:rsidRPr="0007587D">
        <w:rPr>
          <w:rFonts w:ascii="Georgia" w:hAnsi="Georgia"/>
        </w:rPr>
        <w:t xml:space="preserve">While much of the </w:t>
      </w:r>
      <w:proofErr w:type="spellStart"/>
      <w:r w:rsidRPr="0007587D">
        <w:rPr>
          <w:rFonts w:ascii="Georgia" w:hAnsi="Georgia"/>
        </w:rPr>
        <w:t>macro economics</w:t>
      </w:r>
      <w:proofErr w:type="spellEnd"/>
      <w:r w:rsidRPr="0007587D">
        <w:rPr>
          <w:rFonts w:ascii="Georgia" w:hAnsi="Georgia"/>
        </w:rPr>
        <w:t xml:space="preserve"> discussion revolved around uncertainty </w:t>
      </w:r>
      <w:r w:rsidR="00E27442" w:rsidRPr="0007587D">
        <w:rPr>
          <w:rFonts w:ascii="Georgia" w:hAnsi="Georgia"/>
        </w:rPr>
        <w:t xml:space="preserve">stemming </w:t>
      </w:r>
      <w:r w:rsidRPr="0007587D">
        <w:rPr>
          <w:rFonts w:ascii="Georgia" w:hAnsi="Georgia"/>
        </w:rPr>
        <w:t xml:space="preserve">from federal policy, many CEOs and business executives were taking a serious look at artificial intelligence (AI). </w:t>
      </w:r>
      <w:r w:rsidR="00E27442" w:rsidRPr="0007587D">
        <w:rPr>
          <w:rFonts w:ascii="Georgia" w:hAnsi="Georgia"/>
        </w:rPr>
        <w:t>Although</w:t>
      </w:r>
      <w:r w:rsidRPr="0007587D">
        <w:rPr>
          <w:rFonts w:ascii="Georgia" w:hAnsi="Georgia"/>
        </w:rPr>
        <w:t xml:space="preserve"> products like ChatGPT were released several years ago, the conversation in 2025 changed as implementation and use cases became clear</w:t>
      </w:r>
      <w:r w:rsidR="00E27442" w:rsidRPr="0007587D">
        <w:rPr>
          <w:rFonts w:ascii="Georgia" w:hAnsi="Georgia"/>
        </w:rPr>
        <w:t>er</w:t>
      </w:r>
      <w:r w:rsidRPr="0007587D">
        <w:rPr>
          <w:rFonts w:ascii="Georgia" w:hAnsi="Georgia"/>
        </w:rPr>
        <w:t xml:space="preserve">. No longer </w:t>
      </w:r>
      <w:r w:rsidR="00E27442" w:rsidRPr="0007587D">
        <w:rPr>
          <w:rFonts w:ascii="Georgia" w:hAnsi="Georgia"/>
        </w:rPr>
        <w:t xml:space="preserve">limited to </w:t>
      </w:r>
      <w:r w:rsidRPr="0007587D">
        <w:rPr>
          <w:rFonts w:ascii="Georgia" w:hAnsi="Georgia"/>
        </w:rPr>
        <w:t xml:space="preserve">early adopters, many individuals including small business owners and </w:t>
      </w:r>
      <w:r w:rsidR="00622B20" w:rsidRPr="0007587D">
        <w:rPr>
          <w:rFonts w:ascii="Georgia" w:hAnsi="Georgia"/>
        </w:rPr>
        <w:t>their employees</w:t>
      </w:r>
      <w:r w:rsidRPr="0007587D">
        <w:rPr>
          <w:rFonts w:ascii="Georgia" w:hAnsi="Georgia"/>
        </w:rPr>
        <w:t xml:space="preserve"> are using it to be more productive. </w:t>
      </w:r>
      <w:proofErr w:type="spellStart"/>
      <w:r w:rsidRPr="0007587D">
        <w:rPr>
          <w:rFonts w:ascii="Georgia" w:hAnsi="Georgia"/>
        </w:rPr>
        <w:t>Businesswire</w:t>
      </w:r>
      <w:proofErr w:type="spellEnd"/>
      <w:r w:rsidRPr="0007587D">
        <w:rPr>
          <w:rFonts w:ascii="Georgia" w:hAnsi="Georgia"/>
        </w:rPr>
        <w:t xml:space="preserve"> reports on a national survey that found small businesses embracing AI went from 39% in 2024 to 55% in 2025. This is a 41% increase and shows over half of small businesses are utilizing AI in some capacity. Of the small business users, 63% use AI daily and 58% report saving 20 hours per month.</w:t>
      </w:r>
      <w:r w:rsidRPr="0007587D">
        <w:rPr>
          <w:rStyle w:val="FootnoteReference"/>
          <w:rFonts w:ascii="Georgia" w:hAnsi="Georgia"/>
        </w:rPr>
        <w:footnoteReference w:id="4"/>
      </w:r>
      <w:r w:rsidRPr="0007587D">
        <w:rPr>
          <w:rFonts w:ascii="Georgia" w:hAnsi="Georgia"/>
        </w:rPr>
        <w:t xml:space="preserve"> Anecdotally, Maine business leaders are matching this national trend as discussed at the Maine Visionary Leaders event co</w:t>
      </w:r>
      <w:r w:rsidR="00E27442" w:rsidRPr="0007587D">
        <w:rPr>
          <w:rFonts w:ascii="Georgia" w:hAnsi="Georgia"/>
        </w:rPr>
        <w:t>-</w:t>
      </w:r>
      <w:r w:rsidRPr="0007587D">
        <w:rPr>
          <w:rFonts w:ascii="Georgia" w:hAnsi="Georgia"/>
        </w:rPr>
        <w:t xml:space="preserve">hosted by the Roux Institute, Portland Chamber of Commerce, and the National Association of Corporate Directors (NACD) New England Chapter.  </w:t>
      </w:r>
    </w:p>
    <w:p w14:paraId="3CBC4483" w14:textId="77777777" w:rsidR="004A7291" w:rsidRPr="0007587D" w:rsidRDefault="004A7291" w:rsidP="00804B22">
      <w:pPr>
        <w:rPr>
          <w:rFonts w:ascii="Georgia" w:hAnsi="Georgia"/>
        </w:rPr>
      </w:pPr>
    </w:p>
    <w:p w14:paraId="41D33C39" w14:textId="77777777" w:rsidR="006439B8" w:rsidRDefault="006439B8" w:rsidP="00804B22">
      <w:pPr>
        <w:rPr>
          <w:rFonts w:ascii="Georgia" w:hAnsi="Georgia"/>
        </w:rPr>
      </w:pPr>
    </w:p>
    <w:p w14:paraId="06B127D8" w14:textId="77777777" w:rsidR="006439B8" w:rsidRDefault="006439B8" w:rsidP="00804B22">
      <w:pPr>
        <w:rPr>
          <w:rFonts w:ascii="Georgia" w:hAnsi="Georgia"/>
        </w:rPr>
      </w:pPr>
    </w:p>
    <w:p w14:paraId="4DD3AEC7" w14:textId="77777777" w:rsidR="006439B8" w:rsidRDefault="006439B8" w:rsidP="00804B22">
      <w:pPr>
        <w:rPr>
          <w:rFonts w:ascii="Georgia" w:hAnsi="Georgia"/>
        </w:rPr>
      </w:pPr>
    </w:p>
    <w:p w14:paraId="262E305F" w14:textId="5552354D" w:rsidR="00BB7149" w:rsidRPr="0007587D" w:rsidRDefault="002861B3" w:rsidP="00804B22">
      <w:pPr>
        <w:rPr>
          <w:rFonts w:ascii="Georgia" w:hAnsi="Georgia"/>
        </w:rPr>
      </w:pPr>
      <w:r w:rsidRPr="0007587D">
        <w:rPr>
          <w:rFonts w:ascii="Georgia" w:hAnsi="Georgia"/>
        </w:rPr>
        <w:t xml:space="preserve">Looking internally at the State’s initiatives, 2025 marked a significant change in the direction of business incentives. </w:t>
      </w:r>
      <w:r w:rsidR="003F4535" w:rsidRPr="0007587D">
        <w:rPr>
          <w:rFonts w:ascii="Georgia" w:hAnsi="Georgia"/>
        </w:rPr>
        <w:t xml:space="preserve">The </w:t>
      </w:r>
      <w:r w:rsidR="003075B0" w:rsidRPr="0007587D">
        <w:rPr>
          <w:rFonts w:ascii="Georgia" w:hAnsi="Georgia"/>
        </w:rPr>
        <w:t>Pine Tree Development Zone</w:t>
      </w:r>
      <w:r w:rsidR="003F4535" w:rsidRPr="0007587D">
        <w:rPr>
          <w:rFonts w:ascii="Georgia" w:hAnsi="Georgia"/>
        </w:rPr>
        <w:t xml:space="preserve"> program</w:t>
      </w:r>
      <w:r w:rsidR="003075B0" w:rsidRPr="0007587D">
        <w:rPr>
          <w:rFonts w:ascii="Georgia" w:hAnsi="Georgia"/>
        </w:rPr>
        <w:t xml:space="preserve"> sunset at the end of 2024 and was replaced by</w:t>
      </w:r>
      <w:r w:rsidR="009B28A8" w:rsidRPr="0007587D">
        <w:rPr>
          <w:rFonts w:ascii="Georgia" w:hAnsi="Georgia"/>
        </w:rPr>
        <w:t xml:space="preserve"> the </w:t>
      </w:r>
      <w:r w:rsidR="003075B0" w:rsidRPr="0007587D">
        <w:rPr>
          <w:rFonts w:ascii="Georgia" w:hAnsi="Georgia"/>
        </w:rPr>
        <w:t>Dirigo</w:t>
      </w:r>
      <w:r w:rsidR="00D72D5D" w:rsidRPr="0007587D">
        <w:rPr>
          <w:rFonts w:ascii="Georgia" w:hAnsi="Georgia"/>
        </w:rPr>
        <w:t xml:space="preserve"> Business Incentive</w:t>
      </w:r>
      <w:r w:rsidR="00BB7149" w:rsidRPr="0007587D">
        <w:rPr>
          <w:rFonts w:ascii="Georgia" w:hAnsi="Georgia"/>
        </w:rPr>
        <w:t xml:space="preserve"> Program</w:t>
      </w:r>
      <w:r w:rsidR="00D72D5D" w:rsidRPr="0007587D">
        <w:rPr>
          <w:rFonts w:ascii="Georgia" w:hAnsi="Georgia"/>
        </w:rPr>
        <w:t xml:space="preserve">. This </w:t>
      </w:r>
      <w:r w:rsidR="00BB7149" w:rsidRPr="0007587D">
        <w:rPr>
          <w:rFonts w:ascii="Georgia" w:hAnsi="Georgia"/>
        </w:rPr>
        <w:t>change</w:t>
      </w:r>
      <w:r w:rsidR="00D72D5D" w:rsidRPr="0007587D">
        <w:rPr>
          <w:rFonts w:ascii="Georgia" w:hAnsi="Georgia"/>
        </w:rPr>
        <w:t xml:space="preserve"> shifted the </w:t>
      </w:r>
      <w:r w:rsidR="00E25D91" w:rsidRPr="0007587D">
        <w:rPr>
          <w:rFonts w:ascii="Georgia" w:hAnsi="Georgia"/>
        </w:rPr>
        <w:t>S</w:t>
      </w:r>
      <w:r w:rsidR="00D72D5D" w:rsidRPr="0007587D">
        <w:rPr>
          <w:rFonts w:ascii="Georgia" w:hAnsi="Georgia"/>
        </w:rPr>
        <w:t>tate</w:t>
      </w:r>
      <w:r w:rsidR="00E25D91" w:rsidRPr="0007587D">
        <w:rPr>
          <w:rFonts w:ascii="Georgia" w:hAnsi="Georgia"/>
        </w:rPr>
        <w:t>’</w:t>
      </w:r>
      <w:r w:rsidR="00D72D5D" w:rsidRPr="0007587D">
        <w:rPr>
          <w:rFonts w:ascii="Georgia" w:hAnsi="Georgia"/>
        </w:rPr>
        <w:t>s focus from job creation</w:t>
      </w:r>
      <w:r w:rsidR="00BB7149" w:rsidRPr="0007587D">
        <w:rPr>
          <w:rFonts w:ascii="Georgia" w:hAnsi="Georgia"/>
        </w:rPr>
        <w:t xml:space="preserve">, a </w:t>
      </w:r>
      <w:r w:rsidR="00D72D5D" w:rsidRPr="0007587D">
        <w:rPr>
          <w:rFonts w:ascii="Georgia" w:hAnsi="Georgia"/>
        </w:rPr>
        <w:t>priority 20 years ag</w:t>
      </w:r>
      <w:r w:rsidR="00BB7149" w:rsidRPr="0007587D">
        <w:rPr>
          <w:rFonts w:ascii="Georgia" w:hAnsi="Georgia"/>
        </w:rPr>
        <w:t>o,</w:t>
      </w:r>
      <w:r w:rsidR="00D72D5D" w:rsidRPr="0007587D">
        <w:rPr>
          <w:rFonts w:ascii="Georgia" w:hAnsi="Georgia"/>
        </w:rPr>
        <w:t xml:space="preserve"> to capital investment and worker training</w:t>
      </w:r>
      <w:r w:rsidR="00BB7149" w:rsidRPr="0007587D">
        <w:rPr>
          <w:rFonts w:ascii="Georgia" w:hAnsi="Georgia"/>
        </w:rPr>
        <w:t xml:space="preserve">, </w:t>
      </w:r>
      <w:r w:rsidR="003F4535" w:rsidRPr="0007587D">
        <w:rPr>
          <w:rFonts w:ascii="Georgia" w:hAnsi="Georgia"/>
        </w:rPr>
        <w:t>align</w:t>
      </w:r>
      <w:r w:rsidR="00BB7149" w:rsidRPr="0007587D">
        <w:rPr>
          <w:rFonts w:ascii="Georgia" w:hAnsi="Georgia"/>
        </w:rPr>
        <w:t>ing</w:t>
      </w:r>
      <w:r w:rsidR="003F4535" w:rsidRPr="0007587D">
        <w:rPr>
          <w:rFonts w:ascii="Georgia" w:hAnsi="Georgia"/>
        </w:rPr>
        <w:t xml:space="preserve"> with the </w:t>
      </w:r>
      <w:r w:rsidR="00BB7149" w:rsidRPr="0007587D">
        <w:rPr>
          <w:rFonts w:ascii="Georgia" w:hAnsi="Georgia"/>
        </w:rPr>
        <w:t>Maine’</w:t>
      </w:r>
      <w:r w:rsidR="003F4535" w:rsidRPr="0007587D">
        <w:rPr>
          <w:rFonts w:ascii="Georgia" w:hAnsi="Georgia"/>
        </w:rPr>
        <w:t>s 10 Year Econ</w:t>
      </w:r>
      <w:r w:rsidR="003C288F" w:rsidRPr="0007587D">
        <w:rPr>
          <w:rFonts w:ascii="Georgia" w:hAnsi="Georgia"/>
        </w:rPr>
        <w:t>omic</w:t>
      </w:r>
      <w:r w:rsidR="00BB7149" w:rsidRPr="0007587D">
        <w:rPr>
          <w:rFonts w:ascii="Georgia" w:hAnsi="Georgia"/>
        </w:rPr>
        <w:t xml:space="preserve"> Plan. Certified participants have planned</w:t>
      </w:r>
      <w:r w:rsidR="00D72D5D" w:rsidRPr="0007587D">
        <w:rPr>
          <w:rFonts w:ascii="Georgia" w:hAnsi="Georgia"/>
        </w:rPr>
        <w:t xml:space="preserve"> capital investment</w:t>
      </w:r>
      <w:r w:rsidR="00BB7149" w:rsidRPr="0007587D">
        <w:rPr>
          <w:rFonts w:ascii="Georgia" w:hAnsi="Georgia"/>
        </w:rPr>
        <w:t>s</w:t>
      </w:r>
      <w:r w:rsidR="00D72D5D" w:rsidRPr="0007587D">
        <w:rPr>
          <w:rFonts w:ascii="Georgia" w:hAnsi="Georgia"/>
        </w:rPr>
        <w:t xml:space="preserve"> of $1,343,309,949 over the next 5 years. </w:t>
      </w:r>
      <w:r w:rsidR="00BB7149" w:rsidRPr="0007587D">
        <w:rPr>
          <w:rFonts w:ascii="Georgia" w:hAnsi="Georgia"/>
        </w:rPr>
        <w:t xml:space="preserve"> Notabl</w:t>
      </w:r>
      <w:r w:rsidR="009B28A8" w:rsidRPr="0007587D">
        <w:rPr>
          <w:rFonts w:ascii="Georgia" w:hAnsi="Georgia"/>
        </w:rPr>
        <w:t>y,</w:t>
      </w:r>
      <w:r w:rsidR="003C288F" w:rsidRPr="0007587D">
        <w:rPr>
          <w:rFonts w:ascii="Georgia" w:hAnsi="Georgia"/>
        </w:rPr>
        <w:t xml:space="preserve"> al</w:t>
      </w:r>
      <w:r w:rsidR="00D72D5D" w:rsidRPr="0007587D">
        <w:rPr>
          <w:rFonts w:ascii="Georgia" w:hAnsi="Georgia"/>
        </w:rPr>
        <w:t>most 50% of certified businesses are farming</w:t>
      </w:r>
      <w:r w:rsidR="00BB7149" w:rsidRPr="0007587D">
        <w:rPr>
          <w:rFonts w:ascii="Georgia" w:hAnsi="Georgia"/>
        </w:rPr>
        <w:t xml:space="preserve"> (</w:t>
      </w:r>
      <w:r w:rsidR="00D72D5D" w:rsidRPr="0007587D">
        <w:rPr>
          <w:rFonts w:ascii="Georgia" w:hAnsi="Georgia"/>
        </w:rPr>
        <w:t>crop production</w:t>
      </w:r>
      <w:r w:rsidR="00BB7149" w:rsidRPr="0007587D">
        <w:rPr>
          <w:rFonts w:ascii="Georgia" w:hAnsi="Georgia"/>
        </w:rPr>
        <w:t xml:space="preserve">) </w:t>
      </w:r>
      <w:r w:rsidR="00D72D5D" w:rsidRPr="0007587D">
        <w:rPr>
          <w:rFonts w:ascii="Georgia" w:hAnsi="Georgia"/>
        </w:rPr>
        <w:t xml:space="preserve">and </w:t>
      </w:r>
      <w:r w:rsidR="0034512E" w:rsidRPr="0007587D">
        <w:rPr>
          <w:rFonts w:ascii="Georgia" w:hAnsi="Georgia"/>
        </w:rPr>
        <w:t xml:space="preserve">almost 80% of planned capital investment is from manufacturing businesses. </w:t>
      </w:r>
    </w:p>
    <w:p w14:paraId="3656DC08" w14:textId="77777777" w:rsidR="00BB7149" w:rsidRPr="0007587D" w:rsidRDefault="00BB7149" w:rsidP="00804B22">
      <w:pPr>
        <w:rPr>
          <w:rFonts w:ascii="Georgia" w:hAnsi="Georgia"/>
        </w:rPr>
      </w:pPr>
    </w:p>
    <w:p w14:paraId="533D8429" w14:textId="77777777" w:rsidR="0007587D" w:rsidRDefault="0007587D" w:rsidP="00804B22">
      <w:pPr>
        <w:rPr>
          <w:rFonts w:ascii="Georgia" w:hAnsi="Georgia"/>
        </w:rPr>
      </w:pPr>
    </w:p>
    <w:p w14:paraId="037387A6" w14:textId="77777777" w:rsidR="006439B8" w:rsidRPr="0007587D" w:rsidRDefault="006439B8" w:rsidP="00804B22">
      <w:pPr>
        <w:rPr>
          <w:rFonts w:ascii="Georgia" w:hAnsi="Georgia"/>
        </w:rPr>
      </w:pPr>
    </w:p>
    <w:p w14:paraId="38D09400" w14:textId="558FFD8D" w:rsidR="00BB7149" w:rsidRPr="004D7488" w:rsidRDefault="00BB7149" w:rsidP="00BB7149">
      <w:pPr>
        <w:spacing w:after="160" w:line="278" w:lineRule="auto"/>
        <w:rPr>
          <w:rFonts w:ascii="Georgia" w:hAnsi="Georgia"/>
        </w:rPr>
      </w:pPr>
      <w:r w:rsidRPr="0007587D">
        <w:rPr>
          <w:rFonts w:ascii="Georgia" w:hAnsi="Georgia"/>
        </w:rPr>
        <w:t>Additional</w:t>
      </w:r>
      <w:r w:rsidR="003F4535" w:rsidRPr="0007587D">
        <w:rPr>
          <w:rFonts w:ascii="Georgia" w:hAnsi="Georgia"/>
        </w:rPr>
        <w:t xml:space="preserve"> initiative</w:t>
      </w:r>
      <w:r w:rsidR="00E25D91" w:rsidRPr="0007587D">
        <w:rPr>
          <w:rFonts w:ascii="Georgia" w:hAnsi="Georgia"/>
        </w:rPr>
        <w:t>s</w:t>
      </w:r>
      <w:r w:rsidR="003F4535" w:rsidRPr="0007587D">
        <w:rPr>
          <w:rFonts w:ascii="Georgia" w:hAnsi="Georgia"/>
        </w:rPr>
        <w:t xml:space="preserve"> worth noting </w:t>
      </w:r>
      <w:r w:rsidR="00005953" w:rsidRPr="0007587D">
        <w:rPr>
          <w:rFonts w:ascii="Georgia" w:hAnsi="Georgia"/>
        </w:rPr>
        <w:t>are</w:t>
      </w:r>
      <w:r w:rsidR="0034512E" w:rsidRPr="0007587D">
        <w:rPr>
          <w:rFonts w:ascii="Georgia" w:hAnsi="Georgia"/>
        </w:rPr>
        <w:t xml:space="preserve"> </w:t>
      </w:r>
      <w:r w:rsidR="0007587D" w:rsidRPr="0007587D">
        <w:rPr>
          <w:rFonts w:ascii="Georgia" w:hAnsi="Georgia"/>
        </w:rPr>
        <w:t>Maine</w:t>
      </w:r>
      <w:r w:rsidR="003F4535" w:rsidRPr="0007587D">
        <w:rPr>
          <w:rFonts w:ascii="Georgia" w:hAnsi="Georgia"/>
        </w:rPr>
        <w:t>’s</w:t>
      </w:r>
      <w:r w:rsidR="0034512E" w:rsidRPr="0007587D">
        <w:rPr>
          <w:rFonts w:ascii="Georgia" w:hAnsi="Georgia"/>
        </w:rPr>
        <w:t xml:space="preserve"> investment </w:t>
      </w:r>
      <w:r w:rsidR="002D50D6" w:rsidRPr="0007587D">
        <w:rPr>
          <w:rFonts w:ascii="Georgia" w:hAnsi="Georgia"/>
        </w:rPr>
        <w:t>in</w:t>
      </w:r>
      <w:r w:rsidR="0034512E" w:rsidRPr="0007587D">
        <w:rPr>
          <w:rFonts w:ascii="Georgia" w:hAnsi="Georgia"/>
        </w:rPr>
        <w:t xml:space="preserve"> a Life Science </w:t>
      </w:r>
      <w:r w:rsidRPr="0007587D">
        <w:rPr>
          <w:rFonts w:ascii="Georgia" w:hAnsi="Georgia"/>
        </w:rPr>
        <w:t xml:space="preserve">Innovation </w:t>
      </w:r>
      <w:r w:rsidR="0034512E" w:rsidRPr="0007587D">
        <w:rPr>
          <w:rFonts w:ascii="Georgia" w:hAnsi="Georgia"/>
        </w:rPr>
        <w:t>Center</w:t>
      </w:r>
      <w:r w:rsidR="003F4535" w:rsidRPr="0007587D">
        <w:rPr>
          <w:rStyle w:val="FootnoteReference"/>
          <w:rFonts w:ascii="Georgia" w:hAnsi="Georgia"/>
        </w:rPr>
        <w:footnoteReference w:id="5"/>
      </w:r>
      <w:r w:rsidR="0034512E" w:rsidRPr="0007587D">
        <w:rPr>
          <w:rFonts w:ascii="Georgia" w:hAnsi="Georgia"/>
        </w:rPr>
        <w:t xml:space="preserve"> and continued outreach with the Blue Economy</w:t>
      </w:r>
      <w:r w:rsidR="002D50D6" w:rsidRPr="0007587D">
        <w:rPr>
          <w:rFonts w:ascii="Georgia" w:hAnsi="Georgia"/>
        </w:rPr>
        <w:t xml:space="preserve"> Task Force</w:t>
      </w:r>
      <w:r w:rsidR="0034512E" w:rsidRPr="0007587D">
        <w:rPr>
          <w:rFonts w:ascii="Georgia" w:hAnsi="Georgia"/>
        </w:rPr>
        <w:t>.</w:t>
      </w:r>
      <w:r w:rsidR="00005953" w:rsidRPr="0007587D">
        <w:rPr>
          <w:rStyle w:val="FootnoteReference"/>
          <w:rFonts w:ascii="Georgia" w:hAnsi="Georgia"/>
        </w:rPr>
        <w:footnoteReference w:id="6"/>
      </w:r>
      <w:r w:rsidR="0034512E" w:rsidRPr="0007587D">
        <w:rPr>
          <w:rFonts w:ascii="Georgia" w:hAnsi="Georgia"/>
        </w:rPr>
        <w:t xml:space="preserve"> </w:t>
      </w:r>
      <w:r w:rsidRPr="0007587D">
        <w:rPr>
          <w:rFonts w:ascii="Georgia" w:hAnsi="Georgia"/>
        </w:rPr>
        <w:t xml:space="preserve">  </w:t>
      </w:r>
      <w:r w:rsidR="0034512E" w:rsidRPr="0007587D">
        <w:rPr>
          <w:rFonts w:ascii="Georgia" w:hAnsi="Georgia"/>
        </w:rPr>
        <w:t xml:space="preserve">Creating hubs of excellence is a pillar of the </w:t>
      </w:r>
      <w:r w:rsidR="006439B8">
        <w:rPr>
          <w:rFonts w:ascii="Georgia" w:hAnsi="Georgia"/>
        </w:rPr>
        <w:t xml:space="preserve">10 </w:t>
      </w:r>
      <w:r w:rsidR="006439B8" w:rsidRPr="0007587D">
        <w:rPr>
          <w:rFonts w:ascii="Georgia" w:hAnsi="Georgia"/>
        </w:rPr>
        <w:t>Year</w:t>
      </w:r>
      <w:r w:rsidR="0034512E" w:rsidRPr="0007587D">
        <w:rPr>
          <w:rFonts w:ascii="Georgia" w:hAnsi="Georgia"/>
        </w:rPr>
        <w:t xml:space="preserve"> Economic Development Plan and </w:t>
      </w:r>
      <w:r w:rsidR="0007587D" w:rsidRPr="0007587D">
        <w:rPr>
          <w:rFonts w:ascii="Georgia" w:hAnsi="Georgia"/>
        </w:rPr>
        <w:t>the State</w:t>
      </w:r>
      <w:r w:rsidRPr="0007587D">
        <w:rPr>
          <w:rFonts w:ascii="Georgia" w:hAnsi="Georgia"/>
        </w:rPr>
        <w:t xml:space="preserve"> continues to be</w:t>
      </w:r>
      <w:r w:rsidR="003F4535" w:rsidRPr="0007587D">
        <w:rPr>
          <w:rFonts w:ascii="Georgia" w:hAnsi="Georgia"/>
        </w:rPr>
        <w:t xml:space="preserve"> proactive in identifying those areas. </w:t>
      </w:r>
      <w:r w:rsidRPr="004D7488">
        <w:rPr>
          <w:rFonts w:ascii="Georgia" w:hAnsi="Georgia"/>
        </w:rPr>
        <w:t xml:space="preserve">Together, these initiatives—the Dirigo Business Incentives, the Life Science Center, and the two stages of the Blue Economy Task Force </w:t>
      </w:r>
      <w:r w:rsidRPr="0007587D">
        <w:rPr>
          <w:rFonts w:ascii="Georgia" w:hAnsi="Georgia"/>
        </w:rPr>
        <w:t xml:space="preserve">that </w:t>
      </w:r>
      <w:r w:rsidRPr="004D7488">
        <w:rPr>
          <w:rFonts w:ascii="Georgia" w:hAnsi="Georgia"/>
        </w:rPr>
        <w:t>con</w:t>
      </w:r>
      <w:r w:rsidRPr="0007587D">
        <w:rPr>
          <w:rFonts w:ascii="Georgia" w:hAnsi="Georgia"/>
        </w:rPr>
        <w:t>cluded</w:t>
      </w:r>
      <w:r w:rsidRPr="004D7488">
        <w:rPr>
          <w:rFonts w:ascii="Georgia" w:hAnsi="Georgia"/>
        </w:rPr>
        <w:t xml:space="preserve"> in 2025</w:t>
      </w:r>
      <w:r w:rsidRPr="0007587D">
        <w:rPr>
          <w:rFonts w:ascii="Georgia" w:hAnsi="Georgia"/>
        </w:rPr>
        <w:t xml:space="preserve"> and is geared up for development</w:t>
      </w:r>
      <w:r w:rsidR="0007587D" w:rsidRPr="0007587D">
        <w:rPr>
          <w:rFonts w:ascii="Georgia" w:hAnsi="Georgia"/>
        </w:rPr>
        <w:t xml:space="preserve"> in 2026</w:t>
      </w:r>
      <w:r w:rsidRPr="004D7488">
        <w:rPr>
          <w:rFonts w:ascii="Georgia" w:hAnsi="Georgia"/>
        </w:rPr>
        <w:t>—demonstrate how Maine is positioning itself to compete on both a national and international stage.</w:t>
      </w:r>
    </w:p>
    <w:p w14:paraId="1D9D3C9E" w14:textId="34CA8BEF" w:rsidR="0034512E" w:rsidRPr="003C288F" w:rsidRDefault="0034512E" w:rsidP="00804B22">
      <w:pPr>
        <w:rPr>
          <w:color w:val="FF0000"/>
        </w:rPr>
      </w:pPr>
    </w:p>
    <w:p w14:paraId="342B49DF" w14:textId="77777777" w:rsidR="004A7291" w:rsidRDefault="004A7291" w:rsidP="00804B22"/>
    <w:p w14:paraId="7BBDCCFF" w14:textId="77777777" w:rsidR="002861B3" w:rsidRPr="00804B22" w:rsidRDefault="00BD5D34" w:rsidP="00804B22">
      <w:r>
        <w:t xml:space="preserve"> </w:t>
      </w:r>
    </w:p>
    <w:sectPr w:rsidR="002861B3" w:rsidRPr="00804B22">
      <w:headerReference w:type="default" r:id="rId9"/>
      <w:footerReference w:type="default" r:id="rId10"/>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3E29" w14:textId="77777777" w:rsidR="00653F5F" w:rsidRDefault="00653F5F">
      <w:r>
        <w:separator/>
      </w:r>
    </w:p>
  </w:endnote>
  <w:endnote w:type="continuationSeparator" w:id="0">
    <w:p w14:paraId="336C2095" w14:textId="77777777" w:rsidR="00653F5F" w:rsidRDefault="0065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B02A" w14:textId="77777777" w:rsidR="004C26F9" w:rsidRDefault="004C26F9">
    <w:pPr>
      <w:pStyle w:val="Footer"/>
      <w:jc w:val="center"/>
      <w:rPr>
        <w:smallCaps/>
        <w:color w:val="000080"/>
        <w:sz w:val="20"/>
      </w:rPr>
    </w:pPr>
    <w:r>
      <w:rPr>
        <w:smallCaps/>
        <w:color w:val="000080"/>
        <w:sz w:val="20"/>
      </w:rPr>
      <w:t>59 State House Station</w:t>
    </w:r>
    <w:r>
      <w:rPr>
        <w:snapToGrid w:val="0"/>
        <w:color w:val="000080"/>
        <w:sz w:val="20"/>
      </w:rPr>
      <w:t>•</w:t>
    </w:r>
    <w:smartTag w:uri="urn:schemas-microsoft-com:office:smarttags" w:element="City">
      <w:r>
        <w:rPr>
          <w:smallCaps/>
          <w:color w:val="000080"/>
          <w:sz w:val="20"/>
        </w:rPr>
        <w:t>Augusta</w:t>
      </w:r>
    </w:smartTag>
    <w:r>
      <w:rPr>
        <w:snapToGrid w:val="0"/>
        <w:color w:val="000080"/>
        <w:sz w:val="20"/>
      </w:rPr>
      <w:t>•</w:t>
    </w:r>
    <w:smartTag w:uri="urn:schemas-microsoft-com:office:smarttags" w:element="place">
      <w:smartTag w:uri="urn:schemas-microsoft-com:office:smarttags" w:element="State">
        <w:r>
          <w:rPr>
            <w:smallCaps/>
            <w:color w:val="000080"/>
            <w:sz w:val="20"/>
          </w:rPr>
          <w:t>Maine</w:t>
        </w:r>
      </w:smartTag>
    </w:smartTag>
    <w:r>
      <w:rPr>
        <w:snapToGrid w:val="0"/>
        <w:color w:val="000080"/>
        <w:sz w:val="20"/>
      </w:rPr>
      <w:t>•</w:t>
    </w:r>
    <w:r>
      <w:rPr>
        <w:smallCaps/>
        <w:color w:val="000080"/>
        <w:sz w:val="20"/>
      </w:rPr>
      <w:t>04333-0059</w:t>
    </w:r>
  </w:p>
  <w:p w14:paraId="046011E1" w14:textId="77777777" w:rsidR="004C26F9" w:rsidRDefault="004C26F9">
    <w:pPr>
      <w:pStyle w:val="Footer"/>
      <w:jc w:val="center"/>
      <w:rPr>
        <w:smallCaps/>
        <w:color w:val="000080"/>
        <w:sz w:val="20"/>
      </w:rPr>
    </w:pPr>
    <w:r>
      <w:rPr>
        <w:smallCaps/>
        <w:color w:val="000080"/>
        <w:sz w:val="20"/>
      </w:rPr>
      <w:t>Phone: (207) 624-9800</w:t>
    </w:r>
    <w:r>
      <w:rPr>
        <w:snapToGrid w:val="0"/>
        <w:color w:val="000080"/>
        <w:sz w:val="20"/>
      </w:rPr>
      <w:t>•</w:t>
    </w:r>
    <w:r>
      <w:rPr>
        <w:smallCaps/>
        <w:color w:val="000080"/>
        <w:sz w:val="20"/>
      </w:rPr>
      <w:t xml:space="preserve">Facsimile: (207) 287-2681  </w:t>
    </w:r>
  </w:p>
  <w:p w14:paraId="749A9750" w14:textId="77777777" w:rsidR="004C26F9" w:rsidRDefault="004C26F9">
    <w:pPr>
      <w:pStyle w:val="Footer"/>
      <w:jc w:val="center"/>
      <w:rPr>
        <w:iCs/>
        <w:smallCaps/>
        <w:color w:val="000080"/>
        <w:sz w:val="20"/>
      </w:rPr>
    </w:pPr>
    <w:r>
      <w:rPr>
        <w:iCs/>
        <w:smallCaps/>
        <w:color w:val="000080"/>
        <w:sz w:val="20"/>
      </w:rPr>
      <w:t>www.</w:t>
    </w:r>
    <w:r w:rsidR="0004148F">
      <w:rPr>
        <w:iCs/>
        <w:smallCaps/>
        <w:color w:val="000080"/>
        <w:sz w:val="20"/>
      </w:rPr>
      <w:t>maine.gov/decd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2A300" w14:textId="77777777" w:rsidR="00653F5F" w:rsidRDefault="00653F5F">
      <w:r>
        <w:separator/>
      </w:r>
    </w:p>
  </w:footnote>
  <w:footnote w:type="continuationSeparator" w:id="0">
    <w:p w14:paraId="7E1C4CE6" w14:textId="77777777" w:rsidR="00653F5F" w:rsidRDefault="00653F5F">
      <w:r>
        <w:continuationSeparator/>
      </w:r>
    </w:p>
  </w:footnote>
  <w:footnote w:id="1">
    <w:p w14:paraId="5336997C" w14:textId="77777777" w:rsidR="004973A5" w:rsidRDefault="004973A5">
      <w:pPr>
        <w:pStyle w:val="FootnoteText"/>
      </w:pPr>
      <w:r>
        <w:rPr>
          <w:rStyle w:val="FootnoteReference"/>
        </w:rPr>
        <w:footnoteRef/>
      </w:r>
      <w:r>
        <w:t xml:space="preserve"> </w:t>
      </w:r>
      <w:hyperlink r:id="rId1" w:history="1">
        <w:r w:rsidRPr="001B024B">
          <w:rPr>
            <w:rStyle w:val="Hyperlink"/>
          </w:rPr>
          <w:t>https://www.mitc.com/2025/12/maine-exports-to-canada-down-nearly-20-with-forest-products-hardest-hit-by-tariffs</w:t>
        </w:r>
      </w:hyperlink>
    </w:p>
  </w:footnote>
  <w:footnote w:id="2">
    <w:p w14:paraId="70AB0E39" w14:textId="77777777" w:rsidR="004973A5" w:rsidRDefault="004973A5">
      <w:pPr>
        <w:pStyle w:val="FootnoteText"/>
      </w:pPr>
      <w:r>
        <w:rPr>
          <w:rStyle w:val="FootnoteReference"/>
        </w:rPr>
        <w:footnoteRef/>
      </w:r>
      <w:r>
        <w:t xml:space="preserve"> </w:t>
      </w:r>
      <w:hyperlink r:id="rId2" w:history="1">
        <w:r w:rsidRPr="001B024B">
          <w:rPr>
            <w:rStyle w:val="Hyperlink"/>
          </w:rPr>
          <w:t>https://motpartners.com/wp-content/uploads/2025/10/Maine-Office-of-Tourism-May-2025-August-2025-Visitor-Tracking-Report.pdf</w:t>
        </w:r>
      </w:hyperlink>
    </w:p>
  </w:footnote>
  <w:footnote w:id="3">
    <w:p w14:paraId="6D4D9B4A" w14:textId="77777777" w:rsidR="002861B3" w:rsidRDefault="002861B3">
      <w:pPr>
        <w:pStyle w:val="FootnoteText"/>
      </w:pPr>
      <w:r>
        <w:rPr>
          <w:rStyle w:val="FootnoteReference"/>
        </w:rPr>
        <w:footnoteRef/>
      </w:r>
      <w:r>
        <w:t xml:space="preserve"> </w:t>
      </w:r>
      <w:hyperlink r:id="rId3" w:history="1">
        <w:r w:rsidRPr="00855F82">
          <w:rPr>
            <w:rStyle w:val="Hyperlink"/>
          </w:rPr>
          <w:t>https://www.maine.gov/governor/mills/news/governor-mills-announces-maine-welcome-canadian-premier-league-soccer-team-nova-scotia</w:t>
        </w:r>
      </w:hyperlink>
    </w:p>
  </w:footnote>
  <w:footnote w:id="4">
    <w:p w14:paraId="554B4604" w14:textId="77777777" w:rsidR="002861B3" w:rsidRDefault="002861B3">
      <w:pPr>
        <w:pStyle w:val="FootnoteText"/>
      </w:pPr>
      <w:r>
        <w:rPr>
          <w:rStyle w:val="FootnoteReference"/>
        </w:rPr>
        <w:footnoteRef/>
      </w:r>
      <w:r>
        <w:t xml:space="preserve"> </w:t>
      </w:r>
      <w:hyperlink r:id="rId4" w:history="1">
        <w:r w:rsidRPr="00855F82">
          <w:rPr>
            <w:rStyle w:val="Hyperlink"/>
          </w:rPr>
          <w:t>https://www.businesswire.com/news/home/20250717239434/en/AI-Adoption-Among-Small-Businesses-Surges-41-in-2025-According-to-New-Survey-from-Thryv</w:t>
        </w:r>
      </w:hyperlink>
    </w:p>
  </w:footnote>
  <w:footnote w:id="5">
    <w:p w14:paraId="43C9E317" w14:textId="77777777" w:rsidR="003F4535" w:rsidRDefault="003F4535" w:rsidP="003F4535">
      <w:pPr>
        <w:pStyle w:val="FootnoteText"/>
      </w:pPr>
      <w:r>
        <w:rPr>
          <w:rStyle w:val="FootnoteReference"/>
        </w:rPr>
        <w:footnoteRef/>
      </w:r>
      <w:r>
        <w:t xml:space="preserve"> </w:t>
      </w:r>
      <w:hyperlink r:id="rId5" w:history="1">
        <w:r w:rsidRPr="00D122A9">
          <w:rPr>
            <w:rStyle w:val="Hyperlink"/>
          </w:rPr>
          <w:t>https://www.maine.gov/governor/mills/news/governor-mills-announces-creation-maine-life-sciences-center-2025-09-25</w:t>
        </w:r>
      </w:hyperlink>
    </w:p>
  </w:footnote>
  <w:footnote w:id="6">
    <w:p w14:paraId="3319C8D1" w14:textId="77777777" w:rsidR="00005953" w:rsidRDefault="00005953">
      <w:pPr>
        <w:pStyle w:val="FootnoteText"/>
      </w:pPr>
      <w:r>
        <w:rPr>
          <w:rStyle w:val="FootnoteReference"/>
        </w:rPr>
        <w:footnoteRef/>
      </w:r>
      <w:r>
        <w:t xml:space="preserve"> </w:t>
      </w:r>
      <w:hyperlink r:id="rId6" w:history="1">
        <w:r w:rsidRPr="00D122A9">
          <w:rPr>
            <w:rStyle w:val="Hyperlink"/>
          </w:rPr>
          <w:t>https://www.maine.gov/decd/business-development/blue-economy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9790" w14:textId="77777777" w:rsidR="004C26F9" w:rsidRDefault="004C26F9">
    <w:pPr>
      <w:pStyle w:val="Header"/>
      <w:jc w:val="center"/>
      <w:rPr>
        <w:smallCaps/>
        <w:sz w:val="20"/>
      </w:rPr>
    </w:pPr>
  </w:p>
  <w:p w14:paraId="4D3540D6" w14:textId="77777777" w:rsidR="004C26F9" w:rsidRDefault="000B2051">
    <w:pPr>
      <w:pStyle w:val="Header"/>
      <w:jc w:val="center"/>
      <w:rPr>
        <w:smallCaps/>
        <w:color w:val="0000FF"/>
        <w:sz w:val="20"/>
      </w:rPr>
    </w:pPr>
    <w:r>
      <w:rPr>
        <w:smallCaps/>
        <w:noProof/>
        <w:color w:val="0000FF"/>
        <w:sz w:val="20"/>
      </w:rPr>
      <w:pict w14:anchorId="1CC0AE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5.25pt;margin-top:3.8pt;width:67.5pt;height:77.4pt;z-index:1">
          <v:imagedata r:id="rId1" o:title=""/>
          <w10:wrap type="topAndBottom"/>
        </v:shape>
      </w:pict>
    </w:r>
  </w:p>
  <w:p w14:paraId="0F051D33" w14:textId="77777777" w:rsidR="004C26F9" w:rsidRDefault="00173E56">
    <w:pPr>
      <w:pStyle w:val="Header"/>
      <w:jc w:val="center"/>
      <w:rPr>
        <w:smallCaps/>
        <w:color w:val="0000FF"/>
        <w:sz w:val="20"/>
      </w:rPr>
    </w:pPr>
    <w:r>
      <w:rPr>
        <w:noProof/>
      </w:rPr>
      <w:pict w14:anchorId="26E2507D">
        <v:shape id="_x0000_s1028" type="#_x0000_t75" style="position:absolute;left:0;text-align:left;margin-left:411.95pt;margin-top:11.3pt;width:98.25pt;height:47.65pt;z-index:-1" wrapcoords="-133 0 -133 21327 21600 21327 21600 0 -133 0">
          <v:imagedata r:id="rId2" o:title="signature logo"/>
          <w10:wrap type="through" side="right"/>
        </v:shape>
      </w:pict>
    </w:r>
  </w:p>
  <w:p w14:paraId="523DDDA1" w14:textId="77777777" w:rsidR="00173E56" w:rsidRDefault="001D0CB6">
    <w:pPr>
      <w:pStyle w:val="Header"/>
      <w:jc w:val="center"/>
      <w:rPr>
        <w:smallCaps/>
        <w:color w:val="000080"/>
        <w:sz w:val="28"/>
      </w:rPr>
    </w:pPr>
    <w:r>
      <w:rPr>
        <w:smallCaps/>
        <w:color w:val="000080"/>
        <w:sz w:val="28"/>
      </w:rPr>
      <w:tab/>
    </w:r>
    <w:r w:rsidR="00173E56">
      <w:rPr>
        <w:smallCaps/>
        <w:color w:val="000080"/>
        <w:sz w:val="28"/>
      </w:rPr>
      <w:t xml:space="preserve"> </w:t>
    </w:r>
    <w:r w:rsidR="004C26F9">
      <w:rPr>
        <w:smallCaps/>
        <w:color w:val="000080"/>
        <w:sz w:val="28"/>
      </w:rPr>
      <w:t>State of Maine</w:t>
    </w:r>
    <w:r>
      <w:rPr>
        <w:smallCaps/>
        <w:color w:val="000080"/>
        <w:sz w:val="28"/>
      </w:rPr>
      <w:tab/>
    </w:r>
  </w:p>
  <w:p w14:paraId="2A6C5ADB" w14:textId="77777777" w:rsidR="00173E56" w:rsidRDefault="004C26F9">
    <w:pPr>
      <w:pStyle w:val="Header"/>
      <w:jc w:val="center"/>
      <w:rPr>
        <w:smallCaps/>
        <w:color w:val="000080"/>
        <w:sz w:val="28"/>
      </w:rPr>
    </w:pPr>
    <w:r>
      <w:rPr>
        <w:smallCaps/>
        <w:color w:val="000080"/>
        <w:sz w:val="28"/>
      </w:rPr>
      <w:t>Department of Economic</w:t>
    </w:r>
  </w:p>
  <w:p w14:paraId="19E65695" w14:textId="77777777" w:rsidR="004C26F9" w:rsidRDefault="004C26F9">
    <w:pPr>
      <w:pStyle w:val="Header"/>
      <w:jc w:val="center"/>
      <w:rPr>
        <w:smallCaps/>
        <w:sz w:val="28"/>
      </w:rPr>
    </w:pPr>
    <w:r>
      <w:rPr>
        <w:smallCaps/>
        <w:color w:val="000080"/>
        <w:sz w:val="28"/>
      </w:rPr>
      <w:t>and Community Development</w:t>
    </w:r>
  </w:p>
  <w:p w14:paraId="34944F7F" w14:textId="77777777" w:rsidR="004C26F9" w:rsidRDefault="004C26F9">
    <w:pPr>
      <w:pStyle w:val="Header"/>
      <w:jc w:val="center"/>
      <w:rPr>
        <w:smallCaps/>
        <w:sz w:val="20"/>
      </w:rPr>
    </w:pPr>
  </w:p>
  <w:p w14:paraId="38BA8BE9" w14:textId="77777777" w:rsidR="004C26F9" w:rsidRDefault="004C26F9">
    <w:pPr>
      <w:pStyle w:val="Header"/>
      <w:jc w:val="center"/>
      <w:rPr>
        <w:smallCaps/>
        <w:sz w:val="20"/>
      </w:rPr>
    </w:pPr>
  </w:p>
  <w:p w14:paraId="67963C23" w14:textId="77777777" w:rsidR="004C26F9" w:rsidRPr="0052338F" w:rsidRDefault="006104D4">
    <w:pPr>
      <w:rPr>
        <w:color w:val="002060"/>
        <w:sz w:val="16"/>
      </w:rPr>
    </w:pPr>
    <w:r>
      <w:rPr>
        <w:color w:val="002060"/>
        <w:sz w:val="16"/>
      </w:rPr>
      <w:t xml:space="preserve">   JANET T. MILLS</w:t>
    </w:r>
    <w:r w:rsidR="004C26F9" w:rsidRPr="0052338F">
      <w:rPr>
        <w:color w:val="002060"/>
        <w:sz w:val="16"/>
      </w:rPr>
      <w:tab/>
    </w:r>
    <w:r w:rsidR="004C26F9" w:rsidRPr="0052338F">
      <w:rPr>
        <w:color w:val="002060"/>
        <w:sz w:val="16"/>
      </w:rPr>
      <w:tab/>
    </w:r>
    <w:r w:rsidR="004C26F9" w:rsidRPr="0052338F">
      <w:rPr>
        <w:color w:val="002060"/>
        <w:sz w:val="16"/>
      </w:rPr>
      <w:tab/>
    </w:r>
    <w:r w:rsidR="004C26F9" w:rsidRPr="0052338F">
      <w:rPr>
        <w:color w:val="002060"/>
        <w:sz w:val="16"/>
      </w:rPr>
      <w:tab/>
    </w:r>
    <w:r w:rsidR="004C26F9" w:rsidRPr="0052338F">
      <w:rPr>
        <w:color w:val="002060"/>
        <w:sz w:val="16"/>
      </w:rPr>
      <w:tab/>
    </w:r>
    <w:r w:rsidR="004C26F9" w:rsidRPr="0052338F">
      <w:rPr>
        <w:color w:val="002060"/>
        <w:sz w:val="16"/>
      </w:rPr>
      <w:tab/>
    </w:r>
    <w:r w:rsidR="004C26F9" w:rsidRPr="0052338F">
      <w:rPr>
        <w:color w:val="002060"/>
        <w:sz w:val="16"/>
      </w:rPr>
      <w:tab/>
    </w:r>
    <w:r w:rsidR="004C26F9" w:rsidRPr="0052338F">
      <w:rPr>
        <w:color w:val="002060"/>
        <w:sz w:val="16"/>
      </w:rPr>
      <w:tab/>
    </w:r>
    <w:r w:rsidR="004C26F9" w:rsidRPr="0052338F">
      <w:rPr>
        <w:color w:val="002060"/>
        <w:sz w:val="16"/>
      </w:rPr>
      <w:tab/>
      <w:t xml:space="preserve">  </w:t>
    </w:r>
    <w:r w:rsidR="0065248B" w:rsidRPr="0052338F">
      <w:rPr>
        <w:color w:val="002060"/>
        <w:sz w:val="16"/>
      </w:rPr>
      <w:t xml:space="preserve">                       </w:t>
    </w:r>
    <w:r w:rsidR="00974157">
      <w:rPr>
        <w:color w:val="002060"/>
        <w:sz w:val="16"/>
      </w:rPr>
      <w:t xml:space="preserve">   </w:t>
    </w:r>
    <w:r w:rsidR="000420C8">
      <w:rPr>
        <w:color w:val="002060"/>
        <w:sz w:val="16"/>
      </w:rPr>
      <w:t xml:space="preserve"> </w:t>
    </w:r>
    <w:r w:rsidR="00E927ED">
      <w:rPr>
        <w:color w:val="002060"/>
        <w:sz w:val="16"/>
      </w:rPr>
      <w:t>MICHAEL DUGUAY</w:t>
    </w:r>
    <w:r w:rsidR="00441B6B">
      <w:rPr>
        <w:color w:val="002060"/>
        <w:sz w:val="16"/>
      </w:rPr>
      <w:t xml:space="preserve"> </w:t>
    </w:r>
  </w:p>
  <w:p w14:paraId="098E0A65" w14:textId="77777777" w:rsidR="004C26F9" w:rsidRPr="0052338F" w:rsidRDefault="00441B6B" w:rsidP="00441B6B">
    <w:pPr>
      <w:pStyle w:val="Heading1"/>
      <w:ind w:right="-720"/>
      <w:jc w:val="left"/>
      <w:rPr>
        <w:rFonts w:ascii="Book Antiqua" w:hAnsi="Book Antiqua"/>
        <w:color w:val="002060"/>
      </w:rPr>
    </w:pPr>
    <w:r>
      <w:rPr>
        <w:rFonts w:ascii="Book Antiqua" w:hAnsi="Book Antiqua"/>
        <w:color w:val="002060"/>
      </w:rPr>
      <w:t xml:space="preserve">                                    </w:t>
    </w:r>
    <w:r w:rsidR="004C26F9" w:rsidRPr="0052338F">
      <w:rPr>
        <w:rFonts w:ascii="Book Antiqua" w:hAnsi="Book Antiqua"/>
        <w:color w:val="002060"/>
      </w:rPr>
      <w:t>GOVERNOR</w:t>
    </w:r>
    <w:r w:rsidR="004C26F9" w:rsidRPr="0052338F">
      <w:rPr>
        <w:rFonts w:ascii="Book Antiqua" w:hAnsi="Book Antiqua"/>
        <w:color w:val="002060"/>
      </w:rPr>
      <w:tab/>
    </w:r>
    <w:r w:rsidR="004C26F9" w:rsidRPr="0052338F">
      <w:rPr>
        <w:rFonts w:ascii="Book Antiqua" w:hAnsi="Book Antiqua"/>
        <w:color w:val="002060"/>
      </w:rPr>
      <w:tab/>
    </w:r>
    <w:r w:rsidR="004C26F9" w:rsidRPr="0052338F">
      <w:rPr>
        <w:rFonts w:ascii="Book Antiqua" w:hAnsi="Book Antiqua"/>
        <w:color w:val="002060"/>
      </w:rPr>
      <w:tab/>
      <w:t xml:space="preserve">                                                                                  </w:t>
    </w:r>
    <w:r w:rsidR="0065248B" w:rsidRPr="0052338F">
      <w:rPr>
        <w:rFonts w:ascii="Book Antiqua" w:hAnsi="Book Antiqua"/>
        <w:color w:val="002060"/>
      </w:rPr>
      <w:t xml:space="preserve"> </w:t>
    </w:r>
    <w:r w:rsidR="004C26F9" w:rsidRPr="0052338F">
      <w:rPr>
        <w:rFonts w:ascii="Book Antiqua" w:hAnsi="Book Antiqua"/>
        <w:color w:val="002060"/>
      </w:rPr>
      <w:t xml:space="preserve"> </w:t>
    </w:r>
    <w:r w:rsidR="00DC545C">
      <w:rPr>
        <w:rFonts w:ascii="Book Antiqua" w:hAnsi="Book Antiqua"/>
        <w:color w:val="002060"/>
      </w:rPr>
      <w:t xml:space="preserve"> </w:t>
    </w:r>
    <w:r w:rsidR="00974157">
      <w:rPr>
        <w:rFonts w:ascii="Book Antiqua" w:hAnsi="Book Antiqua"/>
        <w:color w:val="002060"/>
      </w:rPr>
      <w:t xml:space="preserve">   </w:t>
    </w:r>
    <w:r w:rsidR="002C74C2">
      <w:rPr>
        <w:rFonts w:ascii="Book Antiqua" w:hAnsi="Book Antiqua"/>
        <w:color w:val="002060"/>
      </w:rPr>
      <w:t xml:space="preserve">  </w:t>
    </w:r>
    <w:r w:rsidR="000420C8">
      <w:rPr>
        <w:rFonts w:ascii="Book Antiqua" w:hAnsi="Book Antiqua"/>
        <w:color w:val="002060"/>
      </w:rPr>
      <w:t xml:space="preserve">  </w:t>
    </w:r>
    <w:r w:rsidR="002C74C2">
      <w:rPr>
        <w:rFonts w:ascii="Book Antiqua" w:hAnsi="Book Antiqua"/>
        <w:color w:val="002060"/>
      </w:rPr>
      <w:t xml:space="preserve">    </w:t>
    </w:r>
    <w:r>
      <w:rPr>
        <w:rFonts w:ascii="Book Antiqua" w:hAnsi="Book Antiqua"/>
        <w:color w:val="002060"/>
      </w:rPr>
      <w:t>COMMISSIONER</w:t>
    </w:r>
  </w:p>
  <w:p w14:paraId="29318BF3" w14:textId="77777777" w:rsidR="004C26F9" w:rsidRDefault="004C26F9">
    <w:pPr>
      <w:pStyle w:val="Header"/>
      <w:rPr>
        <w:smallCap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A34"/>
    <w:multiLevelType w:val="hybridMultilevel"/>
    <w:tmpl w:val="E7681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B630AFA"/>
    <w:multiLevelType w:val="hybridMultilevel"/>
    <w:tmpl w:val="7BB8E4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71E7367"/>
    <w:multiLevelType w:val="hybridMultilevel"/>
    <w:tmpl w:val="FA7853EE"/>
    <w:lvl w:ilvl="0" w:tplc="2E18C9D6">
      <w:start w:val="1"/>
      <w:numFmt w:val="lowerLetter"/>
      <w:lvlText w:val="%1."/>
      <w:lvlJc w:val="left"/>
      <w:pPr>
        <w:ind w:left="1080" w:hanging="360"/>
      </w:pPr>
      <w:rPr>
        <w:rFonts w:cs="Times New Roman"/>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050609771">
    <w:abstractNumId w:val="0"/>
  </w:num>
  <w:num w:numId="2" w16cid:durableId="331954330">
    <w:abstractNumId w:val="2"/>
  </w:num>
  <w:num w:numId="3" w16cid:durableId="1002584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7FA2"/>
    <w:rsid w:val="000024F7"/>
    <w:rsid w:val="00005953"/>
    <w:rsid w:val="00023E65"/>
    <w:rsid w:val="0004148F"/>
    <w:rsid w:val="000420C8"/>
    <w:rsid w:val="00047861"/>
    <w:rsid w:val="0007587D"/>
    <w:rsid w:val="000879DE"/>
    <w:rsid w:val="0009182F"/>
    <w:rsid w:val="000B2051"/>
    <w:rsid w:val="000B7FD3"/>
    <w:rsid w:val="000E704E"/>
    <w:rsid w:val="00100209"/>
    <w:rsid w:val="0014461E"/>
    <w:rsid w:val="00155EC1"/>
    <w:rsid w:val="00173E56"/>
    <w:rsid w:val="001813EE"/>
    <w:rsid w:val="001D0CB6"/>
    <w:rsid w:val="001F2566"/>
    <w:rsid w:val="00205C66"/>
    <w:rsid w:val="00232708"/>
    <w:rsid w:val="002463E9"/>
    <w:rsid w:val="00270E8E"/>
    <w:rsid w:val="002861B3"/>
    <w:rsid w:val="00286F9D"/>
    <w:rsid w:val="00294918"/>
    <w:rsid w:val="002A7A73"/>
    <w:rsid w:val="002C74C2"/>
    <w:rsid w:val="002D50D6"/>
    <w:rsid w:val="003075B0"/>
    <w:rsid w:val="00317E06"/>
    <w:rsid w:val="00326027"/>
    <w:rsid w:val="0034512E"/>
    <w:rsid w:val="003704D8"/>
    <w:rsid w:val="003812A0"/>
    <w:rsid w:val="003A31BD"/>
    <w:rsid w:val="003B3A58"/>
    <w:rsid w:val="003C288F"/>
    <w:rsid w:val="003D380E"/>
    <w:rsid w:val="003F4535"/>
    <w:rsid w:val="0042489D"/>
    <w:rsid w:val="00441B6B"/>
    <w:rsid w:val="00444521"/>
    <w:rsid w:val="00487EA8"/>
    <w:rsid w:val="0049654A"/>
    <w:rsid w:val="004973A5"/>
    <w:rsid w:val="004A7291"/>
    <w:rsid w:val="004C26F9"/>
    <w:rsid w:val="004E2AE1"/>
    <w:rsid w:val="004E698D"/>
    <w:rsid w:val="00507465"/>
    <w:rsid w:val="00522B36"/>
    <w:rsid w:val="0052338F"/>
    <w:rsid w:val="005A2DFB"/>
    <w:rsid w:val="005C387C"/>
    <w:rsid w:val="0060720A"/>
    <w:rsid w:val="006104D4"/>
    <w:rsid w:val="00622B20"/>
    <w:rsid w:val="006439B8"/>
    <w:rsid w:val="0065248B"/>
    <w:rsid w:val="00653F5F"/>
    <w:rsid w:val="00673E35"/>
    <w:rsid w:val="006A66B3"/>
    <w:rsid w:val="006B007C"/>
    <w:rsid w:val="006E1322"/>
    <w:rsid w:val="0070439A"/>
    <w:rsid w:val="0073526C"/>
    <w:rsid w:val="00750C66"/>
    <w:rsid w:val="00753791"/>
    <w:rsid w:val="007654B8"/>
    <w:rsid w:val="00767207"/>
    <w:rsid w:val="007953B4"/>
    <w:rsid w:val="007B0615"/>
    <w:rsid w:val="007E3BD1"/>
    <w:rsid w:val="007F38D5"/>
    <w:rsid w:val="00804B22"/>
    <w:rsid w:val="00813D98"/>
    <w:rsid w:val="008643C2"/>
    <w:rsid w:val="00877688"/>
    <w:rsid w:val="00892B0A"/>
    <w:rsid w:val="008A5BCE"/>
    <w:rsid w:val="008B1A16"/>
    <w:rsid w:val="008B7FA2"/>
    <w:rsid w:val="008F12D7"/>
    <w:rsid w:val="00905B03"/>
    <w:rsid w:val="00924C94"/>
    <w:rsid w:val="009504DE"/>
    <w:rsid w:val="00951983"/>
    <w:rsid w:val="00964744"/>
    <w:rsid w:val="00974157"/>
    <w:rsid w:val="00985FA1"/>
    <w:rsid w:val="00991C45"/>
    <w:rsid w:val="009A24E3"/>
    <w:rsid w:val="009A3E4E"/>
    <w:rsid w:val="009A468E"/>
    <w:rsid w:val="009B28A8"/>
    <w:rsid w:val="009B3C4F"/>
    <w:rsid w:val="009C5531"/>
    <w:rsid w:val="009D3B66"/>
    <w:rsid w:val="009D6267"/>
    <w:rsid w:val="009E5D0C"/>
    <w:rsid w:val="00A4189D"/>
    <w:rsid w:val="00A44ABD"/>
    <w:rsid w:val="00A65FC0"/>
    <w:rsid w:val="00AA4C72"/>
    <w:rsid w:val="00AE10E3"/>
    <w:rsid w:val="00AE4F07"/>
    <w:rsid w:val="00AF05F4"/>
    <w:rsid w:val="00B2723B"/>
    <w:rsid w:val="00B37B04"/>
    <w:rsid w:val="00B82BE4"/>
    <w:rsid w:val="00BB297D"/>
    <w:rsid w:val="00BB7149"/>
    <w:rsid w:val="00BD5D34"/>
    <w:rsid w:val="00C123C1"/>
    <w:rsid w:val="00C1521A"/>
    <w:rsid w:val="00C7060C"/>
    <w:rsid w:val="00C82104"/>
    <w:rsid w:val="00CA0B4F"/>
    <w:rsid w:val="00CD3EA5"/>
    <w:rsid w:val="00D24D0F"/>
    <w:rsid w:val="00D530A7"/>
    <w:rsid w:val="00D72D5D"/>
    <w:rsid w:val="00D73F63"/>
    <w:rsid w:val="00DA2993"/>
    <w:rsid w:val="00DA7317"/>
    <w:rsid w:val="00DC09B9"/>
    <w:rsid w:val="00DC545C"/>
    <w:rsid w:val="00DE0EE2"/>
    <w:rsid w:val="00DE7C45"/>
    <w:rsid w:val="00DF1404"/>
    <w:rsid w:val="00E03383"/>
    <w:rsid w:val="00E125AA"/>
    <w:rsid w:val="00E25D91"/>
    <w:rsid w:val="00E27442"/>
    <w:rsid w:val="00E33E31"/>
    <w:rsid w:val="00E7043D"/>
    <w:rsid w:val="00E73729"/>
    <w:rsid w:val="00E927ED"/>
    <w:rsid w:val="00EA51A9"/>
    <w:rsid w:val="00EA7C5C"/>
    <w:rsid w:val="00EB7CCA"/>
    <w:rsid w:val="00F55DFD"/>
    <w:rsid w:val="00F82284"/>
    <w:rsid w:val="00FC77A3"/>
    <w:rsid w:val="00FE7FF7"/>
    <w:rsid w:val="00FF0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27BE9AC9"/>
  <w15:chartTrackingRefBased/>
  <w15:docId w15:val="{D26CC8BF-BFB0-49F0-8DEB-A6F27676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szCs w:val="24"/>
    </w:rPr>
  </w:style>
  <w:style w:type="paragraph" w:styleId="Heading1">
    <w:name w:val="heading 1"/>
    <w:basedOn w:val="Normal"/>
    <w:next w:val="Normal"/>
    <w:qFormat/>
    <w:pPr>
      <w:keepNext/>
      <w:ind w:left="4320" w:hanging="5040"/>
      <w:jc w:val="right"/>
      <w:outlineLvl w:val="0"/>
    </w:pPr>
    <w:rPr>
      <w:rFonts w:ascii="Arial" w:hAnsi="Arial"/>
      <w:i/>
      <w:sz w:val="1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szCs w:val="20"/>
    </w:rPr>
  </w:style>
  <w:style w:type="paragraph" w:styleId="Footer">
    <w:name w:val="footer"/>
    <w:basedOn w:val="Normal"/>
    <w:pPr>
      <w:tabs>
        <w:tab w:val="center" w:pos="4320"/>
        <w:tab w:val="right" w:pos="8640"/>
      </w:tabs>
    </w:pPr>
    <w:rPr>
      <w:szCs w:val="20"/>
    </w:rPr>
  </w:style>
  <w:style w:type="paragraph" w:customStyle="1" w:styleId="DefaultText">
    <w:name w:val="Default Text"/>
    <w:basedOn w:val="Normal"/>
    <w:rPr>
      <w:rFonts w:ascii="Times New Roman" w:hAnsi="Times New Roman"/>
      <w:snapToGrid w:val="0"/>
      <w:szCs w:val="20"/>
    </w:rPr>
  </w:style>
  <w:style w:type="paragraph" w:styleId="BodyTextIndent2">
    <w:name w:val="Body Text Indent 2"/>
    <w:basedOn w:val="Normal"/>
    <w:pPr>
      <w:ind w:firstLine="360"/>
    </w:pPr>
    <w:rPr>
      <w:rFonts w:ascii="Times New Roman" w:hAnsi="Times New Roman"/>
      <w:sz w:val="22"/>
    </w:rPr>
  </w:style>
  <w:style w:type="paragraph" w:styleId="EndnoteText">
    <w:name w:val="endnote text"/>
    <w:basedOn w:val="Normal"/>
    <w:semiHidden/>
    <w:rPr>
      <w:rFonts w:ascii="Times New Roman" w:hAnsi="Times New Roman"/>
      <w:sz w:val="20"/>
      <w:szCs w:val="20"/>
    </w:rPr>
  </w:style>
  <w:style w:type="paragraph" w:styleId="BodyTextIndent">
    <w:name w:val="Body Text Indent"/>
    <w:basedOn w:val="Normal"/>
    <w:pPr>
      <w:autoSpaceDE w:val="0"/>
      <w:autoSpaceDN w:val="0"/>
      <w:adjustRightInd w:val="0"/>
      <w:ind w:firstLine="720"/>
    </w:pPr>
    <w:rPr>
      <w:rFonts w:ascii="Times New Roman" w:hAnsi="Times New Roman"/>
      <w:sz w:val="20"/>
      <w:szCs w:val="22"/>
    </w:rPr>
  </w:style>
  <w:style w:type="paragraph" w:styleId="BalloonText">
    <w:name w:val="Balloon Text"/>
    <w:basedOn w:val="Normal"/>
    <w:semiHidden/>
    <w:rsid w:val="004C26F9"/>
    <w:rPr>
      <w:rFonts w:ascii="Tahoma" w:hAnsi="Tahoma" w:cs="Tahoma"/>
      <w:sz w:val="16"/>
      <w:szCs w:val="16"/>
    </w:rPr>
  </w:style>
  <w:style w:type="paragraph" w:styleId="ListParagraph">
    <w:name w:val="List Paragraph"/>
    <w:basedOn w:val="Normal"/>
    <w:uiPriority w:val="34"/>
    <w:qFormat/>
    <w:rsid w:val="008F12D7"/>
    <w:pPr>
      <w:spacing w:after="200" w:line="276" w:lineRule="auto"/>
      <w:ind w:left="720"/>
      <w:contextualSpacing/>
    </w:pPr>
    <w:rPr>
      <w:rFonts w:ascii="Calibri" w:hAnsi="Calibri"/>
      <w:sz w:val="22"/>
      <w:szCs w:val="22"/>
    </w:rPr>
  </w:style>
  <w:style w:type="character" w:styleId="Hyperlink">
    <w:name w:val="Hyperlink"/>
    <w:rsid w:val="007E3BD1"/>
    <w:rPr>
      <w:color w:val="0563C1"/>
      <w:u w:val="single"/>
    </w:rPr>
  </w:style>
  <w:style w:type="character" w:styleId="UnresolvedMention">
    <w:name w:val="Unresolved Mention"/>
    <w:uiPriority w:val="99"/>
    <w:semiHidden/>
    <w:unhideWhenUsed/>
    <w:rsid w:val="00DA2993"/>
    <w:rPr>
      <w:color w:val="605E5C"/>
      <w:shd w:val="clear" w:color="auto" w:fill="E1DFDD"/>
    </w:rPr>
  </w:style>
  <w:style w:type="paragraph" w:styleId="BodyText3">
    <w:name w:val="Body Text 3"/>
    <w:basedOn w:val="Normal"/>
    <w:link w:val="BodyText3Char"/>
    <w:rsid w:val="00326027"/>
    <w:pPr>
      <w:spacing w:after="120"/>
    </w:pPr>
    <w:rPr>
      <w:sz w:val="16"/>
      <w:szCs w:val="16"/>
    </w:rPr>
  </w:style>
  <w:style w:type="character" w:customStyle="1" w:styleId="BodyText3Char">
    <w:name w:val="Body Text 3 Char"/>
    <w:link w:val="BodyText3"/>
    <w:rsid w:val="00326027"/>
    <w:rPr>
      <w:rFonts w:ascii="Book Antiqua" w:hAnsi="Book Antiqua"/>
      <w:sz w:val="16"/>
      <w:szCs w:val="16"/>
    </w:rPr>
  </w:style>
  <w:style w:type="paragraph" w:styleId="NoSpacing">
    <w:name w:val="No Spacing"/>
    <w:uiPriority w:val="1"/>
    <w:qFormat/>
    <w:rsid w:val="00326027"/>
    <w:rPr>
      <w:rFonts w:ascii="Calibri" w:eastAsia="Calibri" w:hAnsi="Calibri"/>
      <w:sz w:val="22"/>
      <w:szCs w:val="22"/>
    </w:rPr>
  </w:style>
  <w:style w:type="character" w:styleId="FollowedHyperlink">
    <w:name w:val="FollowedHyperlink"/>
    <w:rsid w:val="004A7291"/>
    <w:rPr>
      <w:color w:val="96607D"/>
      <w:u w:val="single"/>
    </w:rPr>
  </w:style>
  <w:style w:type="paragraph" w:styleId="FootnoteText">
    <w:name w:val="footnote text"/>
    <w:basedOn w:val="Normal"/>
    <w:link w:val="FootnoteTextChar"/>
    <w:rsid w:val="004973A5"/>
    <w:rPr>
      <w:sz w:val="20"/>
      <w:szCs w:val="20"/>
    </w:rPr>
  </w:style>
  <w:style w:type="character" w:customStyle="1" w:styleId="FootnoteTextChar">
    <w:name w:val="Footnote Text Char"/>
    <w:link w:val="FootnoteText"/>
    <w:rsid w:val="004973A5"/>
    <w:rPr>
      <w:rFonts w:ascii="Book Antiqua" w:hAnsi="Book Antiqua"/>
    </w:rPr>
  </w:style>
  <w:style w:type="character" w:styleId="FootnoteReference">
    <w:name w:val="footnote reference"/>
    <w:rsid w:val="004973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38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ecd/sites/maine.gov.decd/files/inline-files/DECD_120919_sm.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maine.gov/governor/mills/news/governor-mills-announces-maine-welcome-canadian-premier-league-soccer-team-nova-scotia" TargetMode="External"/><Relationship Id="rId2" Type="http://schemas.openxmlformats.org/officeDocument/2006/relationships/hyperlink" Target="https://motpartners.com/wp-content/uploads/2025/10/Maine-Office-of-Tourism-May-2025-August-2025-Visitor-Tracking-Report.pdf" TargetMode="External"/><Relationship Id="rId1" Type="http://schemas.openxmlformats.org/officeDocument/2006/relationships/hyperlink" Target="https://www.mitc.com/2025/12/maine-exports-to-canada-down-nearly-20-with-forest-products-hardest-hit-by-tariffs" TargetMode="External"/><Relationship Id="rId6" Type="http://schemas.openxmlformats.org/officeDocument/2006/relationships/hyperlink" Target="https://www.maine.gov/decd/business-development/blue-economy" TargetMode="External"/><Relationship Id="rId5" Type="http://schemas.openxmlformats.org/officeDocument/2006/relationships/hyperlink" Target="https://www.maine.gov/governor/mills/news/governor-mills-announces-creation-maine-life-sciences-center-2025-09-25" TargetMode="External"/><Relationship Id="rId4" Type="http://schemas.openxmlformats.org/officeDocument/2006/relationships/hyperlink" Target="https://www.businesswire.com/news/home/20250717239434/en/AI-Adoption-Among-Small-Businesses-Surges-41-in-2025-According-to-New-Survey-from-Thry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015C1-C272-4A34-ADE4-FC44CBD6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7565</CharactersWithSpaces>
  <SharedDoc>false</SharedDoc>
  <HLinks>
    <vt:vector size="42" baseType="variant">
      <vt:variant>
        <vt:i4>7274549</vt:i4>
      </vt:variant>
      <vt:variant>
        <vt:i4>0</vt:i4>
      </vt:variant>
      <vt:variant>
        <vt:i4>0</vt:i4>
      </vt:variant>
      <vt:variant>
        <vt:i4>5</vt:i4>
      </vt:variant>
      <vt:variant>
        <vt:lpwstr>https://www.maine.gov/decd/sites/maine.gov.decd/files/inline-files/DECD_120919_sm.pdf</vt:lpwstr>
      </vt:variant>
      <vt:variant>
        <vt:lpwstr/>
      </vt:variant>
      <vt:variant>
        <vt:i4>6226007</vt:i4>
      </vt:variant>
      <vt:variant>
        <vt:i4>15</vt:i4>
      </vt:variant>
      <vt:variant>
        <vt:i4>0</vt:i4>
      </vt:variant>
      <vt:variant>
        <vt:i4>5</vt:i4>
      </vt:variant>
      <vt:variant>
        <vt:lpwstr>https://www.maine.gov/decd/business-development/blue-economy</vt:lpwstr>
      </vt:variant>
      <vt:variant>
        <vt:lpwstr/>
      </vt:variant>
      <vt:variant>
        <vt:i4>1179672</vt:i4>
      </vt:variant>
      <vt:variant>
        <vt:i4>12</vt:i4>
      </vt:variant>
      <vt:variant>
        <vt:i4>0</vt:i4>
      </vt:variant>
      <vt:variant>
        <vt:i4>5</vt:i4>
      </vt:variant>
      <vt:variant>
        <vt:lpwstr>https://www.maine.gov/governor/mills/news/governor-mills-announces-creation-maine-life-sciences-center-2025-09-25</vt:lpwstr>
      </vt:variant>
      <vt:variant>
        <vt:lpwstr/>
      </vt:variant>
      <vt:variant>
        <vt:i4>4718676</vt:i4>
      </vt:variant>
      <vt:variant>
        <vt:i4>9</vt:i4>
      </vt:variant>
      <vt:variant>
        <vt:i4>0</vt:i4>
      </vt:variant>
      <vt:variant>
        <vt:i4>5</vt:i4>
      </vt:variant>
      <vt:variant>
        <vt:lpwstr>https://www.businesswire.com/news/home/20250717239434/en/AI-Adoption-Among-Small-Businesses-Surges-41-in-2025-According-to-New-Survey-from-Thryv</vt:lpwstr>
      </vt:variant>
      <vt:variant>
        <vt:lpwstr/>
      </vt:variant>
      <vt:variant>
        <vt:i4>196612</vt:i4>
      </vt:variant>
      <vt:variant>
        <vt:i4>6</vt:i4>
      </vt:variant>
      <vt:variant>
        <vt:i4>0</vt:i4>
      </vt:variant>
      <vt:variant>
        <vt:i4>5</vt:i4>
      </vt:variant>
      <vt:variant>
        <vt:lpwstr>https://www.maine.gov/governor/mills/news/governor-mills-announces-maine-welcome-canadian-premier-league-soccer-team-nova-scotia</vt:lpwstr>
      </vt:variant>
      <vt:variant>
        <vt:lpwstr/>
      </vt:variant>
      <vt:variant>
        <vt:i4>3407990</vt:i4>
      </vt:variant>
      <vt:variant>
        <vt:i4>3</vt:i4>
      </vt:variant>
      <vt:variant>
        <vt:i4>0</vt:i4>
      </vt:variant>
      <vt:variant>
        <vt:i4>5</vt:i4>
      </vt:variant>
      <vt:variant>
        <vt:lpwstr>https://motpartners.com/wp-content/uploads/2025/10/Maine-Office-of-Tourism-May-2025-August-2025-Visitor-Tracking-Report.pdf</vt:lpwstr>
      </vt:variant>
      <vt:variant>
        <vt:lpwstr/>
      </vt:variant>
      <vt:variant>
        <vt:i4>2621553</vt:i4>
      </vt:variant>
      <vt:variant>
        <vt:i4>0</vt:i4>
      </vt:variant>
      <vt:variant>
        <vt:i4>0</vt:i4>
      </vt:variant>
      <vt:variant>
        <vt:i4>5</vt:i4>
      </vt:variant>
      <vt:variant>
        <vt:lpwstr>https://www.mitc.com/2025/12/maine-exports-to-canada-down-nearly-20-with-forest-products-hardest-hit-by-tariffs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Nimon</dc:creator>
  <cp:keywords/>
  <cp:lastModifiedBy>Terry, Maureen</cp:lastModifiedBy>
  <cp:revision>3</cp:revision>
  <cp:lastPrinted>2026-01-16T20:48:00Z</cp:lastPrinted>
  <dcterms:created xsi:type="dcterms:W3CDTF">2026-01-16T22:18:00Z</dcterms:created>
  <dcterms:modified xsi:type="dcterms:W3CDTF">2026-01-16T22:19:00Z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eb68700e-9b2d-4ed6-a66c-befe20d4d276</vt:lpwstr>
  </property>
</Properties>
</file>