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the Child and Family Court Process</w:t>
      </w:r>
    </w:p>
    <w:p w:rsidR="004D7455" w:rsidP="004D7455">
      <w:pPr>
        <w:spacing w:after="240"/>
        <w:ind w:left="360"/>
        <w:jc w:val="right"/>
        <w:rPr>
          <w:rFonts w:ascii="Arial" w:eastAsia="Arial" w:hAnsi="Arial" w:cs="Arial"/>
          <w:caps/>
        </w:rPr>
      </w:pPr>
      <w:bookmarkStart w:id="0" w:name="_AMEND_TITLE__1d5af463_0574_4cbe_9b5e_9b"/>
      <w:bookmarkStart w:id="1" w:name="_PAGE__1_3e0c1763_f7f7_437a_9681_8d3203a"/>
      <w:bookmarkStart w:id="2" w:name="_PAR__2_cab430ea_240c_4eb4_9c2e_46a40f01"/>
      <w:r>
        <w:rPr>
          <w:rFonts w:ascii="Arial" w:eastAsia="Arial" w:hAnsi="Arial" w:cs="Arial"/>
          <w:caps/>
        </w:rPr>
        <w:t>L.D. 1831</w:t>
      </w:r>
    </w:p>
    <w:p w:rsidR="004D7455" w:rsidP="004D7455">
      <w:pPr>
        <w:tabs>
          <w:tab w:val="right" w:pos="8928"/>
        </w:tabs>
        <w:spacing w:after="360"/>
        <w:ind w:left="360"/>
        <w:rPr>
          <w:rFonts w:ascii="Arial" w:eastAsia="Arial" w:hAnsi="Arial" w:cs="Arial"/>
        </w:rPr>
      </w:pPr>
      <w:bookmarkStart w:id="3" w:name="_PAR__3_3ee7ad7d_9a2c_4e18_9d4f_c8dab0fd"/>
      <w:bookmarkEnd w:id="2"/>
      <w:r>
        <w:rPr>
          <w:rFonts w:ascii="Arial" w:eastAsia="Arial" w:hAnsi="Arial" w:cs="Arial"/>
        </w:rPr>
        <w:t>Date:</w:t>
      </w:r>
      <w:r>
        <w:rPr>
          <w:rFonts w:ascii="Arial" w:eastAsia="Arial" w:hAnsi="Arial" w:cs="Arial"/>
        </w:rPr>
        <w:tab/>
        <w:t>(Filing No. S-         )</w:t>
      </w:r>
    </w:p>
    <w:p w:rsidR="004D7455" w:rsidP="004D7455">
      <w:pPr>
        <w:spacing w:before="60" w:after="60"/>
        <w:ind w:left="720"/>
        <w:rPr>
          <w:rFonts w:ascii="Arial" w:eastAsia="Arial" w:hAnsi="Arial" w:cs="Arial"/>
        </w:rPr>
      </w:pPr>
      <w:bookmarkStart w:id="4" w:name="_PAR__4_437b6ef6_1b1a_46be_aacf_1f9b4f61"/>
      <w:bookmarkEnd w:id="3"/>
      <w:r>
        <w:rPr>
          <w:rFonts w:ascii="Arial" w:eastAsia="Arial" w:hAnsi="Arial" w:cs="Arial"/>
        </w:rPr>
        <w:t>Reproduced and distributed under the direction of the Secretary of the Senate.</w:t>
      </w:r>
    </w:p>
    <w:p w:rsidR="004D7455" w:rsidP="004D7455">
      <w:pPr>
        <w:spacing w:before="160" w:after="0"/>
        <w:ind w:left="360"/>
        <w:jc w:val="center"/>
        <w:outlineLvl w:val="0"/>
        <w:rPr>
          <w:rFonts w:ascii="Arial" w:eastAsia="Arial" w:hAnsi="Arial" w:cs="Arial"/>
          <w:b/>
          <w:caps/>
          <w:sz w:val="24"/>
          <w:szCs w:val="32"/>
        </w:rPr>
      </w:pPr>
      <w:bookmarkStart w:id="5" w:name="_PAR__5_f3d5cb0c_3f80_4308_90d1_4b62b403"/>
      <w:bookmarkEnd w:id="4"/>
      <w:r>
        <w:rPr>
          <w:rFonts w:ascii="Arial" w:eastAsia="Arial" w:hAnsi="Arial" w:cs="Arial"/>
          <w:b/>
          <w:caps/>
          <w:sz w:val="24"/>
          <w:szCs w:val="32"/>
        </w:rPr>
        <w:t>STATE OF MAINE</w:t>
      </w:r>
    </w:p>
    <w:p w:rsidR="004D7455" w:rsidP="004D7455">
      <w:pPr>
        <w:spacing w:after="0"/>
        <w:ind w:left="360"/>
        <w:jc w:val="center"/>
        <w:outlineLvl w:val="0"/>
        <w:rPr>
          <w:rFonts w:ascii="Arial" w:eastAsia="Arial" w:hAnsi="Arial" w:cs="Arial"/>
          <w:b/>
          <w:caps/>
          <w:sz w:val="24"/>
          <w:szCs w:val="32"/>
        </w:rPr>
      </w:pPr>
      <w:bookmarkStart w:id="6" w:name="_PAR__6_5536b38b_13d3_4d23_b40c_0af9f969"/>
      <w:bookmarkEnd w:id="5"/>
      <w:r>
        <w:rPr>
          <w:rFonts w:ascii="Arial" w:eastAsia="Arial" w:hAnsi="Arial" w:cs="Arial"/>
          <w:b/>
          <w:caps/>
          <w:sz w:val="24"/>
          <w:szCs w:val="32"/>
        </w:rPr>
        <w:t>SENATE</w:t>
      </w:r>
    </w:p>
    <w:p w:rsidR="004D7455" w:rsidP="004D7455">
      <w:pPr>
        <w:spacing w:after="0"/>
        <w:ind w:left="360"/>
        <w:jc w:val="center"/>
        <w:outlineLvl w:val="0"/>
        <w:rPr>
          <w:rFonts w:ascii="Arial" w:eastAsia="Arial" w:hAnsi="Arial" w:cs="Arial"/>
          <w:b/>
          <w:caps/>
          <w:sz w:val="24"/>
          <w:szCs w:val="32"/>
        </w:rPr>
      </w:pPr>
      <w:bookmarkStart w:id="7" w:name="_PAR__7_ae283f03_dfc3_4d36_aa17_110cde54"/>
      <w:bookmarkEnd w:id="6"/>
      <w:r>
        <w:rPr>
          <w:rFonts w:ascii="Arial" w:eastAsia="Arial" w:hAnsi="Arial" w:cs="Arial"/>
          <w:b/>
          <w:caps/>
          <w:sz w:val="24"/>
          <w:szCs w:val="32"/>
        </w:rPr>
        <w:t>130th Legislature</w:t>
      </w:r>
    </w:p>
    <w:p w:rsidR="004D7455" w:rsidP="004D7455">
      <w:pPr>
        <w:spacing w:after="0"/>
        <w:ind w:left="360"/>
        <w:jc w:val="center"/>
        <w:outlineLvl w:val="0"/>
        <w:rPr>
          <w:rFonts w:ascii="Arial" w:eastAsia="Arial" w:hAnsi="Arial" w:cs="Arial"/>
          <w:b/>
          <w:caps/>
          <w:sz w:val="24"/>
          <w:szCs w:val="32"/>
        </w:rPr>
      </w:pPr>
      <w:bookmarkStart w:id="8" w:name="_PAR__8_73bb944b_f2d6_4a69_9532_e238866f"/>
      <w:bookmarkEnd w:id="7"/>
      <w:r>
        <w:rPr>
          <w:rFonts w:ascii="Arial" w:eastAsia="Arial" w:hAnsi="Arial" w:cs="Arial"/>
          <w:b/>
          <w:caps/>
          <w:sz w:val="24"/>
          <w:szCs w:val="32"/>
        </w:rPr>
        <w:t>Second Regular Session</w:t>
      </w:r>
    </w:p>
    <w:p w:rsidR="004D7455" w:rsidP="004D7455">
      <w:pPr>
        <w:spacing w:before="400" w:after="200"/>
        <w:ind w:left="360" w:firstLine="360"/>
        <w:rPr>
          <w:rFonts w:ascii="Arial" w:eastAsia="Arial" w:hAnsi="Arial" w:cs="Arial"/>
        </w:rPr>
      </w:pPr>
      <w:bookmarkStart w:id="9" w:name="_PAR__9_fb63a723_3dfc_473a_95dc_b235bac7"/>
      <w:bookmarkEnd w:id="8"/>
      <w:r>
        <w:rPr>
          <w:rFonts w:ascii="Arial" w:eastAsia="Arial" w:hAnsi="Arial" w:cs="Arial"/>
          <w:szCs w:val="22"/>
        </w:rPr>
        <w:t>SENATE AMENDMENT “      ” to COMMITTEE AMENDMENT “A” to S.P. 648, L.D. 1831, “An Act To Improve the Child and Family Court Process”</w:t>
      </w:r>
    </w:p>
    <w:p w:rsidR="004D7455" w:rsidP="004D7455">
      <w:pPr>
        <w:ind w:left="360" w:firstLine="360"/>
        <w:rPr>
          <w:rFonts w:ascii="Arial" w:eastAsia="Arial" w:hAnsi="Arial" w:cs="Arial"/>
        </w:rPr>
      </w:pPr>
      <w:bookmarkStart w:id="10" w:name="_INSTRUCTION__881bbcd8_286c_44bb_9a2f_5d"/>
      <w:bookmarkStart w:id="11" w:name="_PAR__10_bdecf70e_0e30_490f_a0ca_95ba4f8"/>
      <w:bookmarkEnd w:id="0"/>
      <w:bookmarkEnd w:id="9"/>
      <w:r>
        <w:rPr>
          <w:rFonts w:ascii="Arial" w:eastAsia="Arial" w:hAnsi="Arial" w:cs="Arial"/>
        </w:rPr>
        <w:t>Amend the amendment by striking out the first 5 paragraphs after the title (page 1, lines 11 to 20 in amendment) and inserting the following:</w:t>
      </w:r>
    </w:p>
    <w:p w:rsidR="004D7455" w:rsidP="004D7455">
      <w:pPr>
        <w:ind w:left="360" w:firstLine="360"/>
        <w:rPr>
          <w:rFonts w:ascii="Arial" w:eastAsia="Arial" w:hAnsi="Arial" w:cs="Arial"/>
        </w:rPr>
      </w:pPr>
      <w:bookmarkStart w:id="12" w:name="_PAR__11_8120e602_29dc_4477_bc92_daaaf2d"/>
      <w:bookmarkEnd w:id="11"/>
      <w:r>
        <w:rPr>
          <w:rFonts w:ascii="Arial" w:eastAsia="Arial" w:hAnsi="Arial" w:cs="Arial"/>
        </w:rPr>
        <w:t>'Amend the bill by striking out all of section 6 and inserting the following:</w:t>
      </w:r>
    </w:p>
    <w:p w:rsidR="004D7455" w:rsidP="004D7455">
      <w:pPr>
        <w:ind w:left="360" w:firstLine="360"/>
        <w:rPr>
          <w:rFonts w:ascii="Arial" w:eastAsia="Arial" w:hAnsi="Arial" w:cs="Arial"/>
        </w:rPr>
      </w:pPr>
      <w:bookmarkStart w:id="13" w:name="_PAR__12_0610b3ff_9c23_42c6_ae9c_99cadc0"/>
      <w:bookmarkEnd w:id="12"/>
      <w:r>
        <w:rPr>
          <w:rFonts w:ascii="Arial" w:eastAsia="Arial" w:hAnsi="Arial" w:cs="Arial"/>
        </w:rPr>
        <w:t>'</w:t>
      </w:r>
      <w:r>
        <w:rPr>
          <w:rFonts w:ascii="Arial" w:eastAsia="Arial" w:hAnsi="Arial" w:cs="Arial"/>
          <w:b/>
          <w:sz w:val="24"/>
        </w:rPr>
        <w:t>Sec. 6.  4 MRSA §183, sub-§1, ¶D,</w:t>
      </w:r>
      <w:r>
        <w:rPr>
          <w:rFonts w:ascii="Arial" w:eastAsia="Arial" w:hAnsi="Arial" w:cs="Arial"/>
        </w:rPr>
        <w:t xml:space="preserve"> as amended by PL 2015, c. 296, Pt. C, §1 and affected by Pt. D, §1, is further amended by amending subparagraph (2) to read:</w:t>
      </w:r>
    </w:p>
    <w:p w:rsidR="004D7455" w:rsidP="004D7455">
      <w:pPr>
        <w:ind w:left="1080"/>
        <w:rPr>
          <w:rFonts w:ascii="Arial" w:eastAsia="Arial" w:hAnsi="Arial" w:cs="Arial"/>
        </w:rPr>
      </w:pPr>
      <w:bookmarkStart w:id="14" w:name="_PAR__13_08992845_0a7a_4e3d_83c9_e79823e"/>
      <w:bookmarkEnd w:id="13"/>
      <w:r>
        <w:rPr>
          <w:rFonts w:ascii="Arial" w:eastAsia="Arial" w:hAnsi="Arial" w:cs="Arial"/>
        </w:rPr>
        <w:t>(2)  Interim orders in actions involving divorce, legal separation, parentage or parental rights, including interim orders in postjudgment proceedings arising out of these actions</w:t>
      </w:r>
      <w:r>
        <w:rPr>
          <w:rFonts w:ascii="Arial" w:eastAsia="Arial" w:hAnsi="Arial" w:cs="Arial"/>
          <w:strike/>
        </w:rPr>
        <w:t>, except that a contested motion concerning interim parental rights and responsibilities, excluding interim child support orders, may be determined by the family law magistrate only if both parties consent to determination of the issue or issues in dispute by the family law magistrate</w:t>
      </w:r>
      <w:r>
        <w:rPr>
          <w:rFonts w:ascii="Arial" w:eastAsia="Arial" w:hAnsi="Arial" w:cs="Arial"/>
        </w:rPr>
        <w:t>;'</w:t>
      </w:r>
    </w:p>
    <w:p w:rsidR="004D7455" w:rsidP="004D7455">
      <w:pPr>
        <w:ind w:left="360" w:firstLine="360"/>
        <w:rPr>
          <w:rFonts w:ascii="Arial" w:eastAsia="Arial" w:hAnsi="Arial" w:cs="Arial"/>
        </w:rPr>
      </w:pPr>
      <w:bookmarkStart w:id="15" w:name="_INSTRUCTION__a7436709_2ab5_4c66_aca2_82"/>
      <w:bookmarkStart w:id="16" w:name="_PAR__14_0bac03e9_4f76_4fe4_b7b3_4b15224"/>
      <w:bookmarkEnd w:id="10"/>
      <w:bookmarkEnd w:id="14"/>
      <w:r>
        <w:rPr>
          <w:rFonts w:ascii="Arial" w:eastAsia="Arial" w:hAnsi="Arial" w:cs="Arial"/>
        </w:rPr>
        <w:t>Amend the bill by striking out all of section 7.'</w:t>
      </w:r>
    </w:p>
    <w:p w:rsidR="004D7455" w:rsidP="004D7455">
      <w:pPr>
        <w:ind w:left="360" w:firstLine="360"/>
        <w:rPr>
          <w:rFonts w:ascii="Arial" w:eastAsia="Arial" w:hAnsi="Arial" w:cs="Arial"/>
        </w:rPr>
      </w:pPr>
      <w:bookmarkStart w:id="17" w:name="_INSTRUCTION__fb44c615_e4e6_43cb_9d7c_1b"/>
      <w:bookmarkStart w:id="18" w:name="_PAR__15_b5981908_6041_4e4d_af98_7fb21ca"/>
      <w:bookmarkEnd w:id="15"/>
      <w:bookmarkEnd w:id="16"/>
      <w:r>
        <w:rPr>
          <w:rFonts w:ascii="Arial" w:eastAsia="Arial" w:hAnsi="Arial" w:cs="Arial"/>
        </w:rPr>
        <w:t>Amend the amendment by striking out all of section 9.</w:t>
      </w:r>
    </w:p>
    <w:p w:rsidR="004D7455" w:rsidP="004D7455">
      <w:pPr>
        <w:ind w:left="360" w:firstLine="360"/>
        <w:rPr>
          <w:rFonts w:ascii="Arial" w:eastAsia="Arial" w:hAnsi="Arial" w:cs="Arial"/>
        </w:rPr>
      </w:pPr>
      <w:bookmarkStart w:id="19" w:name="_INSTRUCTION__9053be90_61fd_4204_b906_5c"/>
      <w:bookmarkStart w:id="20" w:name="_PAR__16_55ac982d_4d39_47fa_88ce_9baf0a6"/>
      <w:bookmarkEnd w:id="17"/>
      <w:bookmarkEnd w:id="18"/>
      <w:r>
        <w:rPr>
          <w:rFonts w:ascii="Arial" w:eastAsia="Arial" w:hAnsi="Arial" w:cs="Arial"/>
        </w:rPr>
        <w:t>Amend the amendment by relettering or renumbering any nonconsecutive Part letter or section number to read consecutively.</w:t>
      </w:r>
    </w:p>
    <w:p w:rsidR="004D7455" w:rsidP="004D7455">
      <w:pPr>
        <w:keepNext/>
        <w:spacing w:before="240"/>
        <w:ind w:left="360"/>
        <w:jc w:val="center"/>
        <w:rPr>
          <w:rFonts w:ascii="Arial" w:eastAsia="Arial" w:hAnsi="Arial" w:cs="Arial"/>
        </w:rPr>
      </w:pPr>
      <w:bookmarkStart w:id="21" w:name="_SUMMARY__ea69df14_794e_44ef_bc07_260b4f"/>
      <w:bookmarkStart w:id="22" w:name="_PAR__17_7dcbbfd9_5ce3_4879_902e_ee5ccd8"/>
      <w:bookmarkEnd w:id="19"/>
      <w:bookmarkEnd w:id="20"/>
      <w:r>
        <w:rPr>
          <w:rFonts w:ascii="Arial" w:eastAsia="Arial" w:hAnsi="Arial" w:cs="Arial"/>
          <w:b/>
          <w:sz w:val="24"/>
        </w:rPr>
        <w:t>SUMMARY</w:t>
      </w:r>
    </w:p>
    <w:p w:rsidR="004D7455" w:rsidP="004D7455">
      <w:pPr>
        <w:keepNext/>
        <w:ind w:left="360" w:firstLine="360"/>
        <w:rPr>
          <w:rFonts w:ascii="Arial" w:eastAsia="Arial" w:hAnsi="Arial" w:cs="Arial"/>
        </w:rPr>
      </w:pPr>
      <w:bookmarkStart w:id="23" w:name="_PAR__18_9985ec0a_1b9c_4c39_83fc_9d0aa24"/>
      <w:bookmarkEnd w:id="22"/>
      <w:r>
        <w:rPr>
          <w:rFonts w:ascii="Arial" w:eastAsia="Arial" w:hAnsi="Arial" w:cs="Arial"/>
        </w:rPr>
        <w:t>This amendment amends Committee Amendment "A" to remove provisions directing the Chief Judge of the District Court to employ 12 family law magistrates and providing funding. It also amends the legislation to remove a provision directing the State Court Administrator to provide necessary staff for the family law magistrates.</w:t>
      </w:r>
    </w:p>
    <w:p w:rsidR="004D7455" w:rsidP="004D7455">
      <w:pPr>
        <w:keepNext/>
        <w:spacing w:before="400" w:after="120" w:line="259" w:lineRule="auto"/>
        <w:ind w:left="360"/>
        <w:rPr>
          <w:rFonts w:ascii="Arial" w:eastAsia="Arial" w:hAnsi="Arial" w:cs="Arial"/>
          <w:b/>
        </w:rPr>
      </w:pPr>
      <w:bookmarkStart w:id="24" w:name="_SPONSOR_BLOCK__95edaef8_9d1e_4b87_af1e_"/>
      <w:bookmarkStart w:id="25" w:name="_PAR__19_0d174004_15d1_4539_87e4_60ebc90"/>
      <w:bookmarkEnd w:id="21"/>
      <w:bookmarkEnd w:id="23"/>
      <w:r>
        <w:rPr>
          <w:rFonts w:ascii="Arial" w:eastAsia="Arial" w:hAnsi="Arial" w:cs="Arial"/>
          <w:b/>
        </w:rPr>
        <w:t>SPONSORED BY: ___________________________________</w:t>
      </w:r>
    </w:p>
    <w:p w:rsidR="004D7455" w:rsidP="004D7455">
      <w:pPr>
        <w:keepNext/>
        <w:spacing w:after="120" w:line="259" w:lineRule="auto"/>
        <w:ind w:left="720"/>
        <w:rPr>
          <w:rFonts w:ascii="Arial" w:eastAsia="Arial" w:hAnsi="Arial" w:cs="Arial"/>
          <w:b/>
        </w:rPr>
      </w:pPr>
      <w:bookmarkStart w:id="26" w:name="_PAR__20_58a74142_6a10_46a5_96cc_6f175f5"/>
      <w:bookmarkEnd w:id="25"/>
      <w:r>
        <w:rPr>
          <w:rFonts w:ascii="Arial" w:eastAsia="Arial" w:hAnsi="Arial" w:cs="Arial"/>
          <w:b/>
        </w:rPr>
        <w:t>(Senator BREEN, C.)</w:t>
      </w:r>
    </w:p>
    <w:p w:rsidR="00000000" w:rsidRPr="004D7455" w:rsidP="004D7455">
      <w:pPr>
        <w:spacing w:after="120" w:line="259" w:lineRule="auto"/>
        <w:ind w:left="1080"/>
        <w:rPr>
          <w:rFonts w:ascii="Arial" w:eastAsia="Arial" w:hAnsi="Arial" w:cs="Arial"/>
          <w:b/>
        </w:rPr>
      </w:pPr>
      <w:bookmarkStart w:id="27" w:name="_PAR__21_cb4ee373_4094_44f2_8f9b_203551d"/>
      <w:bookmarkEnd w:id="26"/>
      <w:r>
        <w:rPr>
          <w:rFonts w:ascii="Arial" w:eastAsia="Arial" w:hAnsi="Arial" w:cs="Arial"/>
          <w:b/>
        </w:rPr>
        <w:t>COUNTY: Cumberland</w:t>
      </w:r>
      <w:bookmarkEnd w:id="1"/>
      <w:bookmarkEnd w:id="24"/>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LR2285,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the Child and Family Court Process</w:t>
    </w:r>
  </w:p>
  <w:p>
    <w:pPr>
      <w:suppressLineNumbers/>
      <w:spacing w:before="0" w:after="0"/>
      <w:jc w:val="center"/>
      <w:rPr>
        <w:rFonts w:ascii="Arial" w:eastAsia="Arial" w:hAnsi="Arial" w:cs="Arial"/>
      </w:rPr>
    </w:pPr>
    <w:r>
      <w:rPr>
        <w:rFonts w:ascii="Arial" w:eastAsia="Arial" w:hAnsi="Arial" w:cs="Arial"/>
        <w:sz w:val="22"/>
      </w:rPr>
      <w:t>L.D. 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D7455"/>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