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Exceptions to the Height Limitations under the Shoreland Zoning Laws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636 - L.D. 1809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Allow Exceptions to the Height Limitations under the Shoreland Zoning Laws</w:t>
      </w:r>
    </w:p>
    <w:p w:rsidR="0074662E" w:rsidP="0074662E">
      <w:pPr>
        <w:ind w:left="360"/>
        <w:rPr>
          <w:rFonts w:ascii="Arial" w:eastAsia="Arial" w:hAnsi="Arial" w:cs="Arial"/>
        </w:rPr>
      </w:pPr>
      <w:bookmarkStart w:id="0" w:name="_ENACTING_CLAUSE__71214b72_360c_452c_b4e"/>
      <w:bookmarkStart w:id="1" w:name="_PAR__1_bf7fca09_7eb8_4aa8_b88b_5503130d"/>
      <w:bookmarkStart w:id="2" w:name="_DOC_BODY_CONTAINER__94c41a18_e986_48e2_"/>
      <w:r>
        <w:rPr>
          <w:rFonts w:ascii="Arial" w:eastAsia="Arial" w:hAnsi="Arial" w:cs="Arial"/>
          <w:b/>
        </w:rPr>
        <w:t>Be it enacted by the People of the State of Maine as follows:</w:t>
      </w:r>
    </w:p>
    <w:p w:rsidR="0074662E" w:rsidP="0074662E">
      <w:pPr>
        <w:ind w:left="360" w:firstLine="360"/>
        <w:rPr>
          <w:rFonts w:ascii="Arial" w:eastAsia="Arial" w:hAnsi="Arial" w:cs="Arial"/>
        </w:rPr>
      </w:pPr>
      <w:bookmarkStart w:id="3" w:name="_BILL_SECTION_HEADER__7f796750_cec6_42eb"/>
      <w:bookmarkStart w:id="4" w:name="_PAR__2_c6d60d89_2d7d_41aa_b97b_9b18ce3c"/>
      <w:bookmarkStart w:id="5" w:name="_BILL_SECTION__d2659077_2f5a_4796_9a98_f"/>
      <w:bookmarkStart w:id="6" w:name="_DOC_BODY_CONTENT__cfb56b8f_08f6_42e2_8a"/>
      <w:bookmarkEnd w:id="0"/>
      <w:bookmarkEnd w:id="1"/>
      <w:r>
        <w:rPr>
          <w:rFonts w:ascii="Arial" w:eastAsia="Arial" w:hAnsi="Arial" w:cs="Arial"/>
          <w:b/>
          <w:sz w:val="24"/>
        </w:rPr>
        <w:t xml:space="preserve">Sec. </w:t>
      </w:r>
      <w:bookmarkStart w:id="7" w:name="_BILL_SECTION_NUMBER__3c2c74b2_20a2_4035"/>
      <w:r>
        <w:rPr>
          <w:rFonts w:ascii="Arial" w:eastAsia="Arial" w:hAnsi="Arial" w:cs="Arial"/>
          <w:b/>
          <w:sz w:val="24"/>
        </w:rPr>
        <w:t>1</w:t>
      </w:r>
      <w:bookmarkEnd w:id="7"/>
      <w:r>
        <w:rPr>
          <w:rFonts w:ascii="Arial" w:eastAsia="Arial" w:hAnsi="Arial" w:cs="Arial"/>
          <w:b/>
          <w:sz w:val="24"/>
        </w:rPr>
        <w:t>.  38 MRSA §436-A, sub-§1-C</w:t>
      </w:r>
      <w:r>
        <w:rPr>
          <w:rFonts w:ascii="Arial" w:eastAsia="Arial" w:hAnsi="Arial" w:cs="Arial"/>
        </w:rPr>
        <w:t xml:space="preserve"> is enacted to read:</w:t>
      </w:r>
    </w:p>
    <w:p w:rsidR="0074662E" w:rsidP="0074662E">
      <w:pPr>
        <w:ind w:left="360" w:firstLine="360"/>
        <w:rPr>
          <w:rFonts w:ascii="Arial" w:eastAsia="Arial" w:hAnsi="Arial" w:cs="Arial"/>
        </w:rPr>
      </w:pPr>
      <w:bookmarkStart w:id="8" w:name="_STATUTE_NUMBER__5f5b44dc_fea7_4509_be7b"/>
      <w:bookmarkStart w:id="9" w:name="_STATUTE_SS__24451971_c1f3_4523_8115_80d"/>
      <w:bookmarkStart w:id="10" w:name="_PAR__3_35c21023_6263_4fe9_8cd1_6d6529be"/>
      <w:bookmarkEnd w:id="3"/>
      <w:bookmarkEnd w:id="4"/>
      <w:r>
        <w:rPr>
          <w:rFonts w:ascii="Arial" w:eastAsia="Arial" w:hAnsi="Arial" w:cs="Arial"/>
          <w:b/>
          <w:u w:val="single"/>
        </w:rPr>
        <w:t>1-C</w:t>
      </w:r>
      <w:bookmarkEnd w:id="8"/>
      <w:r>
        <w:rPr>
          <w:rFonts w:ascii="Arial" w:eastAsia="Arial" w:hAnsi="Arial" w:cs="Arial"/>
          <w:b/>
          <w:u w:val="single"/>
        </w:rPr>
        <w:t xml:space="preserve">.  </w:t>
      </w:r>
      <w:bookmarkStart w:id="11" w:name="_STATUTE_HEADNOTE__f8d1f92a_3818_49a6_a5"/>
      <w:r>
        <w:rPr>
          <w:rFonts w:ascii="Arial" w:eastAsia="Arial" w:hAnsi="Arial" w:cs="Arial"/>
          <w:b/>
          <w:u w:val="single"/>
        </w:rPr>
        <w:t xml:space="preserve">Area of special flood hazard. </w:t>
      </w:r>
      <w:r>
        <w:rPr>
          <w:rFonts w:ascii="Arial" w:eastAsia="Arial" w:hAnsi="Arial" w:cs="Arial"/>
          <w:u w:val="single"/>
        </w:rPr>
        <w:t xml:space="preserve"> </w:t>
      </w:r>
      <w:bookmarkStart w:id="12" w:name="_STATUTE_CONTENT__f1d5c381_bc05_4d3f_a06"/>
      <w:bookmarkEnd w:id="11"/>
      <w:r>
        <w:rPr>
          <w:rFonts w:ascii="Arial" w:eastAsia="Arial" w:hAnsi="Arial" w:cs="Arial"/>
          <w:u w:val="single"/>
        </w:rPr>
        <w:t xml:space="preserve">"Area of special flood hazard" means land in a floodplain having a 1% or greater chance of flooding in any given year, as identified in the </w:t>
      </w:r>
      <w:bookmarkStart w:id="13" w:name="_ENGROSSING_REV__fe345357_8168_4560_b025"/>
      <w:bookmarkStart w:id="14" w:name="_REV__159432eb_0ed8_4e2c_a136_3840b97698"/>
      <w:bookmarkStart w:id="15" w:name="_PROCESSED_CHANGE__adcbf688_5869_4430_93"/>
      <w:bookmarkStart w:id="16" w:name="_PROCESSED_CHANGE__8b85bafb_4e2b_4c06_99"/>
      <w:bookmarkStart w:id="17" w:name="_PROCESSED_CHANGE__21be8cf7_290c_4be1_8e"/>
      <w:bookmarkStart w:id="18" w:name="_PROCESSED_CHANGE__6cdbba77_b3b3_4b44_ba"/>
      <w:bookmarkEnd w:id="13"/>
      <w:r>
        <w:rPr>
          <w:rFonts w:ascii="Arial" w:eastAsia="Arial" w:hAnsi="Arial" w:cs="Arial"/>
          <w:u w:val="single"/>
        </w:rPr>
        <w:t>effective</w:t>
      </w:r>
      <w:bookmarkEnd w:id="14"/>
      <w:bookmarkEnd w:id="15"/>
      <w:bookmarkEnd w:id="16"/>
      <w:bookmarkEnd w:id="17"/>
      <w:bookmarkEnd w:id="18"/>
      <w:r>
        <w:rPr>
          <w:rFonts w:ascii="Arial" w:eastAsia="Arial" w:hAnsi="Arial" w:cs="Arial"/>
          <w:u w:val="single"/>
        </w:rPr>
        <w:t xml:space="preserve"> federal flood insurance study and corresponding flood insurance rate maps.</w:t>
      </w:r>
    </w:p>
    <w:p w:rsidR="0074662E" w:rsidP="0074662E">
      <w:pPr>
        <w:ind w:left="360" w:firstLine="360"/>
        <w:rPr>
          <w:rFonts w:ascii="Arial" w:eastAsia="Arial" w:hAnsi="Arial" w:cs="Arial"/>
        </w:rPr>
      </w:pPr>
      <w:bookmarkStart w:id="19" w:name="_BILL_SECTION_HEADER__b6337bb1_9a8a_435a"/>
      <w:bookmarkStart w:id="20" w:name="_PAR__4_1da53420_df9e_4966_9640_84d37202"/>
      <w:bookmarkStart w:id="21" w:name="_BILL_SECTION__91f87030_e7c6_4e20_af96_f"/>
      <w:bookmarkEnd w:id="5"/>
      <w:bookmarkEnd w:id="9"/>
      <w:bookmarkEnd w:id="10"/>
      <w:bookmarkEnd w:id="12"/>
      <w:r>
        <w:rPr>
          <w:rFonts w:ascii="Arial" w:eastAsia="Arial" w:hAnsi="Arial" w:cs="Arial"/>
          <w:b/>
          <w:sz w:val="24"/>
        </w:rPr>
        <w:t xml:space="preserve">Sec. </w:t>
      </w:r>
      <w:bookmarkStart w:id="22" w:name="_BILL_SECTION_NUMBER__87b1c6f2_35fd_4021"/>
      <w:r>
        <w:rPr>
          <w:rFonts w:ascii="Arial" w:eastAsia="Arial" w:hAnsi="Arial" w:cs="Arial"/>
          <w:b/>
          <w:sz w:val="24"/>
        </w:rPr>
        <w:t>2</w:t>
      </w:r>
      <w:bookmarkEnd w:id="22"/>
      <w:r>
        <w:rPr>
          <w:rFonts w:ascii="Arial" w:eastAsia="Arial" w:hAnsi="Arial" w:cs="Arial"/>
          <w:b/>
          <w:sz w:val="24"/>
        </w:rPr>
        <w:t>.  38 MRSA §436-A, sub-§7-A,</w:t>
      </w:r>
      <w:r>
        <w:rPr>
          <w:rFonts w:ascii="Arial" w:eastAsia="Arial" w:hAnsi="Arial" w:cs="Arial"/>
        </w:rPr>
        <w:t xml:space="preserve"> as enacted by PL 2011, c. 231, §1, is repealed and the following enacted in its place:</w:t>
      </w:r>
    </w:p>
    <w:p w:rsidR="0074662E" w:rsidP="0074662E">
      <w:pPr>
        <w:ind w:left="360" w:firstLine="360"/>
        <w:rPr>
          <w:rFonts w:ascii="Arial" w:eastAsia="Arial" w:hAnsi="Arial" w:cs="Arial"/>
        </w:rPr>
      </w:pPr>
      <w:bookmarkStart w:id="23" w:name="_STATUTE_NUMBER__93b1b938_8dff_48ac_8658"/>
      <w:bookmarkStart w:id="24" w:name="_PAR__5_5250e967_7c4c_4bfd_9ca3_e90b1f1c"/>
      <w:bookmarkStart w:id="25" w:name="_STATUTE_SS__491e247a_c11c_4e2d_8f75_c65"/>
      <w:bookmarkEnd w:id="19"/>
      <w:bookmarkEnd w:id="20"/>
      <w:r>
        <w:rPr>
          <w:rFonts w:ascii="Arial" w:eastAsia="Arial" w:hAnsi="Arial" w:cs="Arial"/>
          <w:b/>
          <w:u w:val="single"/>
        </w:rPr>
        <w:t>7-A</w:t>
      </w:r>
      <w:bookmarkEnd w:id="23"/>
      <w:r>
        <w:rPr>
          <w:rFonts w:ascii="Arial" w:eastAsia="Arial" w:hAnsi="Arial" w:cs="Arial"/>
          <w:b/>
          <w:u w:val="single"/>
        </w:rPr>
        <w:t xml:space="preserve">.  </w:t>
      </w:r>
      <w:bookmarkStart w:id="26" w:name="_STATUTE_HEADNOTE__4f322635_ab31_49a2_84"/>
      <w:r>
        <w:rPr>
          <w:rFonts w:ascii="Arial" w:eastAsia="Arial" w:hAnsi="Arial" w:cs="Arial"/>
          <w:b/>
          <w:u w:val="single"/>
        </w:rPr>
        <w:t xml:space="preserve">Height. </w:t>
      </w:r>
      <w:r>
        <w:rPr>
          <w:rFonts w:ascii="Arial" w:eastAsia="Arial" w:hAnsi="Arial" w:cs="Arial"/>
          <w:u w:val="single"/>
        </w:rPr>
        <w:t xml:space="preserve"> </w:t>
      </w:r>
      <w:bookmarkStart w:id="27" w:name="_STATUTE_CONTENT__0bf024d3_b521_48b4_9f9"/>
      <w:bookmarkEnd w:id="26"/>
      <w:r>
        <w:rPr>
          <w:rFonts w:ascii="Arial" w:eastAsia="Arial" w:hAnsi="Arial" w:cs="Arial"/>
          <w:u w:val="single"/>
        </w:rPr>
        <w:t>"Height" means:</w:t>
      </w:r>
    </w:p>
    <w:p w:rsidR="0074662E" w:rsidP="0074662E">
      <w:pPr>
        <w:ind w:left="720"/>
        <w:rPr>
          <w:rFonts w:ascii="Arial" w:eastAsia="Arial" w:hAnsi="Arial" w:cs="Arial"/>
        </w:rPr>
      </w:pPr>
      <w:bookmarkStart w:id="28" w:name="_STATUTE_NUMBER__e49d83c9_e51f_4827_aea2"/>
      <w:bookmarkStart w:id="29" w:name="_STATUTE_P__0bf15d24_9e30_424f_8623_86ec"/>
      <w:bookmarkStart w:id="30" w:name="_PAR__6_b8c92f5c_18ff_4092_9d59_874ab477"/>
      <w:bookmarkEnd w:id="24"/>
      <w:bookmarkEnd w:id="27"/>
      <w:r>
        <w:rPr>
          <w:rFonts w:ascii="Arial" w:eastAsia="Arial" w:hAnsi="Arial" w:cs="Arial"/>
          <w:u w:val="single"/>
        </w:rPr>
        <w:t>A</w:t>
      </w:r>
      <w:bookmarkEnd w:id="28"/>
      <w:r>
        <w:rPr>
          <w:rFonts w:ascii="Arial" w:eastAsia="Arial" w:hAnsi="Arial" w:cs="Arial"/>
          <w:u w:val="single"/>
        </w:rPr>
        <w:t xml:space="preserve">. </w:t>
      </w:r>
      <w:bookmarkStart w:id="31" w:name="_STATUTE_CONTENT__57314b1a_e8be_4956_858"/>
      <w:r>
        <w:rPr>
          <w:rFonts w:ascii="Arial" w:eastAsia="Arial" w:hAnsi="Arial" w:cs="Arial"/>
          <w:u w:val="single"/>
        </w:rPr>
        <w:t>With respect to existing princip</w:t>
      </w:r>
      <w:r>
        <w:rPr>
          <w:rFonts w:ascii="Arial" w:eastAsia="Arial" w:hAnsi="Arial" w:cs="Arial"/>
          <w:u w:val="single"/>
        </w:rPr>
        <w:t>al</w:t>
      </w:r>
      <w:r>
        <w:rPr>
          <w:rFonts w:ascii="Arial" w:eastAsia="Arial" w:hAnsi="Arial" w:cs="Arial"/>
          <w:u w:val="single"/>
        </w:rPr>
        <w:t xml:space="preserve"> or accessory structures, including legally existing nonconforming structures, located within an area of special flood hazard that have been or are proposed to be relocated, reconstructed</w:t>
      </w:r>
      <w:bookmarkStart w:id="32" w:name="_ENGROSSING_REV__5240ad97_f069_485e_a82d"/>
      <w:bookmarkStart w:id="33" w:name="_REV__e7d70369_a26c_4786_9a19_3782bb1bff"/>
      <w:bookmarkStart w:id="34" w:name="_INSTRUCTION__bff24c23_52f8_439d_8652_48"/>
      <w:bookmarkStart w:id="35" w:name="_PROCESSED_CHANGE__951fcefe_d122_4ecb_91"/>
      <w:bookmarkStart w:id="36" w:name="_PROCESSED_CHANGE__279afdc5_3e3f_486a_9a"/>
      <w:bookmarkStart w:id="37" w:name="_PROCESSED_CHANGE__72fc3bbe_dcd7_4147_a8"/>
      <w:bookmarkStart w:id="38" w:name="_PROCESSED_CHANGE__4df1ae3d_902b_4597_a6"/>
      <w:bookmarkEnd w:id="32"/>
      <w:r>
        <w:rPr>
          <w:rFonts w:ascii="Arial" w:eastAsia="Arial" w:hAnsi="Arial" w:cs="Arial"/>
          <w:u w:val="single"/>
        </w:rPr>
        <w:t>, replaced</w:t>
      </w:r>
      <w:bookmarkEnd w:id="33"/>
      <w:bookmarkEnd w:id="34"/>
      <w:bookmarkEnd w:id="35"/>
      <w:bookmarkEnd w:id="36"/>
      <w:bookmarkEnd w:id="37"/>
      <w:bookmarkEnd w:id="38"/>
      <w:r>
        <w:rPr>
          <w:rFonts w:ascii="Arial" w:eastAsia="Arial" w:hAnsi="Arial" w:cs="Arial"/>
          <w:u w:val="single"/>
        </w:rPr>
        <w:t xml:space="preserve"> or elevated to be consistent with the minimum elevation required by a local floodplain management ordinance, the vertical distance between the bottom of the sill of the structure to the highest point of the structure, excluding chimneys, steeples, antennas and similar appurtenances that have no floor area; and</w:t>
      </w:r>
    </w:p>
    <w:p w:rsidR="0074662E" w:rsidP="0074662E">
      <w:pPr>
        <w:ind w:left="720"/>
        <w:rPr>
          <w:rFonts w:ascii="Arial" w:eastAsia="Arial" w:hAnsi="Arial" w:cs="Arial"/>
        </w:rPr>
      </w:pPr>
      <w:bookmarkStart w:id="39" w:name="_STATUTE_NUMBER__cf472783_2d92_4980_ad08"/>
      <w:bookmarkStart w:id="40" w:name="_STATUTE_P__ea07a711_dd00_4106_94bd_369a"/>
      <w:bookmarkStart w:id="41" w:name="_PAR__7_d35d6054_5699_4128_b726_2bc7b2a5"/>
      <w:bookmarkEnd w:id="29"/>
      <w:bookmarkEnd w:id="30"/>
      <w:bookmarkEnd w:id="31"/>
      <w:r>
        <w:rPr>
          <w:rFonts w:ascii="Arial" w:eastAsia="Arial" w:hAnsi="Arial" w:cs="Arial"/>
          <w:u w:val="single"/>
        </w:rPr>
        <w:t>B</w:t>
      </w:r>
      <w:bookmarkEnd w:id="39"/>
      <w:r>
        <w:rPr>
          <w:rFonts w:ascii="Arial" w:eastAsia="Arial" w:hAnsi="Arial" w:cs="Arial"/>
          <w:u w:val="single"/>
        </w:rPr>
        <w:t xml:space="preserve">. </w:t>
      </w:r>
      <w:bookmarkStart w:id="42" w:name="_STATUTE_CONTENT__81cd0add_a030_4e52_88d"/>
      <w:r>
        <w:rPr>
          <w:rFonts w:ascii="Arial" w:eastAsia="Arial" w:hAnsi="Arial" w:cs="Arial"/>
          <w:u w:val="single"/>
        </w:rPr>
        <w:t>With respect to</w:t>
      </w:r>
      <w:bookmarkStart w:id="43" w:name="_ENGROSSING_REV__86bcd632_b0ce_4556_9b85"/>
      <w:bookmarkStart w:id="44" w:name="_REV__e6dd0294_ade9_4944_932c_61dac71b90"/>
      <w:bookmarkStart w:id="45" w:name="_PROCESSED_CHANGE__3e2593a3_5d15_4e6b_90"/>
      <w:bookmarkStart w:id="46" w:name="_PROCESSED_CHANGE__e1f21f3e_2117_4ec9_a9"/>
      <w:bookmarkStart w:id="47" w:name="_PROCESSED_CHANGE__c30fb3fa_7bd5_4b52_93"/>
      <w:bookmarkStart w:id="48" w:name="_PROCESSED_CHANGE__68cf7e8a_c3f3_4823_81"/>
      <w:bookmarkEnd w:id="43"/>
      <w:r>
        <w:rPr>
          <w:rFonts w:ascii="Arial" w:eastAsia="Arial" w:hAnsi="Arial" w:cs="Arial"/>
          <w:u w:val="single"/>
        </w:rPr>
        <w:t xml:space="preserve"> </w:t>
      </w:r>
      <w:r>
        <w:rPr>
          <w:rFonts w:ascii="Arial" w:eastAsia="Arial" w:hAnsi="Arial" w:cs="Arial"/>
          <w:u w:val="single"/>
        </w:rPr>
        <w:t>new principal or accessory structures and to</w:t>
      </w:r>
      <w:bookmarkEnd w:id="44"/>
      <w:bookmarkEnd w:id="45"/>
      <w:bookmarkEnd w:id="46"/>
      <w:bookmarkEnd w:id="47"/>
      <w:bookmarkEnd w:id="48"/>
      <w:r>
        <w:rPr>
          <w:rFonts w:ascii="Arial" w:eastAsia="Arial" w:hAnsi="Arial" w:cs="Arial"/>
          <w:u w:val="single"/>
        </w:rPr>
        <w:t xml:space="preserve"> existing princip</w:t>
      </w:r>
      <w:r>
        <w:rPr>
          <w:rFonts w:ascii="Arial" w:eastAsia="Arial" w:hAnsi="Arial" w:cs="Arial"/>
          <w:u w:val="single"/>
        </w:rPr>
        <w:t>al</w:t>
      </w:r>
      <w:r>
        <w:rPr>
          <w:rFonts w:ascii="Arial" w:eastAsia="Arial" w:hAnsi="Arial" w:cs="Arial"/>
          <w:u w:val="single"/>
        </w:rPr>
        <w:t xml:space="preserve"> or accessory structures</w:t>
      </w:r>
      <w:r>
        <w:rPr>
          <w:rFonts w:ascii="Arial" w:eastAsia="Arial" w:hAnsi="Arial" w:cs="Arial"/>
          <w:u w:val="single"/>
        </w:rPr>
        <w:t xml:space="preserve"> other than those described in paragraph A</w:t>
      </w:r>
      <w:r>
        <w:rPr>
          <w:rFonts w:ascii="Arial" w:eastAsia="Arial" w:hAnsi="Arial" w:cs="Arial"/>
          <w:u w:val="single"/>
        </w:rPr>
        <w:t>, including legally existing nonconforming structures, the vertical distance between the mean original grade at the downhill side of the structure, prior to construction, and the highest point of the structure, excluding chimneys, steeples, antennas and similar appurtenances that have no floor area.</w:t>
      </w:r>
    </w:p>
    <w:p w:rsidR="0074662E" w:rsidP="0074662E">
      <w:pPr>
        <w:ind w:left="360" w:firstLine="360"/>
        <w:rPr>
          <w:rFonts w:ascii="Arial" w:eastAsia="Arial" w:hAnsi="Arial" w:cs="Arial"/>
        </w:rPr>
      </w:pPr>
      <w:bookmarkStart w:id="49" w:name="_BILL_SECTION_HEADER__57de05af_1a80_4caf"/>
      <w:bookmarkStart w:id="50" w:name="_PAR__8_8d3845ce_7efa_40bf_9229_6fcc1339"/>
      <w:bookmarkStart w:id="51" w:name="_BILL_SECTION__44c24a67_0fee_4647_8188_c"/>
      <w:bookmarkEnd w:id="21"/>
      <w:bookmarkEnd w:id="25"/>
      <w:bookmarkEnd w:id="40"/>
      <w:bookmarkEnd w:id="41"/>
      <w:bookmarkEnd w:id="42"/>
      <w:r>
        <w:rPr>
          <w:rFonts w:ascii="Arial" w:eastAsia="Arial" w:hAnsi="Arial" w:cs="Arial"/>
          <w:b/>
          <w:sz w:val="24"/>
        </w:rPr>
        <w:t xml:space="preserve">Sec. </w:t>
      </w:r>
      <w:bookmarkStart w:id="52" w:name="_BILL_SECTION_NUMBER__834e9bee_c232_4a9f"/>
      <w:r>
        <w:rPr>
          <w:rFonts w:ascii="Arial" w:eastAsia="Arial" w:hAnsi="Arial" w:cs="Arial"/>
          <w:b/>
          <w:sz w:val="24"/>
        </w:rPr>
        <w:t>3</w:t>
      </w:r>
      <w:bookmarkEnd w:id="52"/>
      <w:r>
        <w:rPr>
          <w:rFonts w:ascii="Arial" w:eastAsia="Arial" w:hAnsi="Arial" w:cs="Arial"/>
          <w:b/>
          <w:sz w:val="24"/>
        </w:rPr>
        <w:t>.  38 MRSA §439-A, sub-§4, ¶C-1</w:t>
      </w:r>
      <w:r>
        <w:rPr>
          <w:rFonts w:ascii="Arial" w:eastAsia="Arial" w:hAnsi="Arial" w:cs="Arial"/>
        </w:rPr>
        <w:t xml:space="preserve"> is enacted to read:</w:t>
      </w:r>
    </w:p>
    <w:p w:rsidR="0074662E" w:rsidP="0074662E">
      <w:pPr>
        <w:ind w:left="720"/>
        <w:rPr>
          <w:rFonts w:ascii="Arial" w:eastAsia="Arial" w:hAnsi="Arial" w:cs="Arial"/>
        </w:rPr>
      </w:pPr>
      <w:bookmarkStart w:id="53" w:name="_STATUTE_NUMBER__c779d251_ad65_4167_88d8"/>
      <w:bookmarkStart w:id="54" w:name="_PAR__9_f9174144_ebee_44a8_9b20_f5a13cc9"/>
      <w:bookmarkStart w:id="55" w:name="_STATUTE_P__bad41cd8_f1c6_4f34_96e8_9086"/>
      <w:bookmarkEnd w:id="49"/>
      <w:bookmarkEnd w:id="50"/>
      <w:r>
        <w:rPr>
          <w:rFonts w:ascii="Arial" w:eastAsia="Arial" w:hAnsi="Arial" w:cs="Arial"/>
          <w:u w:val="single"/>
        </w:rPr>
        <w:t>C-1</w:t>
      </w:r>
      <w:bookmarkEnd w:id="53"/>
      <w:r>
        <w:rPr>
          <w:rFonts w:ascii="Arial" w:eastAsia="Arial" w:hAnsi="Arial" w:cs="Arial"/>
          <w:u w:val="single"/>
        </w:rPr>
        <w:t xml:space="preserve">.  </w:t>
      </w:r>
      <w:bookmarkStart w:id="56" w:name="_STATUTE_CONTENT__26044509_b383_4bc7_b62"/>
      <w:r>
        <w:rPr>
          <w:rFonts w:ascii="Arial" w:eastAsia="Arial" w:hAnsi="Arial" w:cs="Arial"/>
          <w:u w:val="single"/>
        </w:rPr>
        <w:t xml:space="preserve">Notwithstanding the limitations on height imposed under paragraphs B and C, the height of a structure that is a legally existing nonconforming principal or accessory structure may be raised to, but not above, the minimum elevation necessary to be consistent with the </w:t>
      </w:r>
      <w:r>
        <w:rPr>
          <w:rFonts w:ascii="Arial" w:eastAsia="Arial" w:hAnsi="Arial" w:cs="Arial"/>
          <w:u w:val="single"/>
        </w:rPr>
        <w:t>local</w:t>
      </w:r>
      <w:r>
        <w:rPr>
          <w:rFonts w:ascii="Arial" w:eastAsia="Arial" w:hAnsi="Arial" w:cs="Arial"/>
          <w:u w:val="single"/>
        </w:rPr>
        <w:t xml:space="preserve"> floodplain management elevation requirement</w:t>
      </w:r>
      <w:bookmarkStart w:id="57" w:name="_ENGROSSING_REV__95b3007d_2c06_4c6c_8ebf"/>
      <w:bookmarkStart w:id="58" w:name="_PROCESSED_CHANGE__5ba80eab_2911_46f2_b7"/>
      <w:bookmarkStart w:id="59" w:name="_PROCESSED_CHANGE__6cd49d85_cc17_45c0_81"/>
      <w:bookmarkStart w:id="60" w:name="_PROCESSED_CHANGE__e143618e_8a46_41fb_9b"/>
      <w:bookmarkStart w:id="61" w:name="_PROCESSED_CHANGE__ffc01e67_cbe8_47dc_bd"/>
      <w:bookmarkStart w:id="62" w:name="_REV__204740d0_a21e_4829_a9d7_fdd5a53c1c"/>
      <w:bookmarkStart w:id="63" w:name="_INSTRUCTION__4877f570_77ac_43c9_9ab4_29"/>
      <w:bookmarkEnd w:id="57"/>
      <w:r>
        <w:rPr>
          <w:rFonts w:ascii="Arial" w:eastAsia="Arial" w:hAnsi="Arial" w:cs="Arial"/>
          <w:u w:val="single"/>
        </w:rPr>
        <w:t xml:space="preserve"> </w:t>
      </w:r>
      <w:r>
        <w:rPr>
          <w:rFonts w:ascii="Arial" w:eastAsia="Arial" w:hAnsi="Arial" w:cs="Arial"/>
          <w:u w:val="single"/>
        </w:rPr>
        <w:t>or to 3 feet above base flood elevation</w:t>
      </w:r>
      <w:bookmarkEnd w:id="58"/>
      <w:bookmarkEnd w:id="59"/>
      <w:bookmarkEnd w:id="60"/>
      <w:bookmarkEnd w:id="61"/>
      <w:r>
        <w:rPr>
          <w:rFonts w:ascii="Arial" w:eastAsia="Arial" w:hAnsi="Arial" w:cs="Arial"/>
          <w:u w:val="single"/>
        </w:rPr>
        <w:t>, whichever is greater</w:t>
      </w:r>
      <w:bookmarkEnd w:id="62"/>
      <w:bookmarkEnd w:id="63"/>
      <w:r>
        <w:rPr>
          <w:rFonts w:ascii="Arial" w:eastAsia="Arial" w:hAnsi="Arial" w:cs="Arial"/>
          <w:u w:val="single"/>
        </w:rPr>
        <w:t>, as long as the structure is relocated, reconstructed</w:t>
      </w:r>
      <w:bookmarkStart w:id="64" w:name="_ENGROSSING_REV__a0c0c8e0_0018_423e_847d"/>
      <w:bookmarkStart w:id="65" w:name="_REV__6a8be706_a7d9_493c_895c_fd3c8c2cea"/>
      <w:bookmarkStart w:id="66" w:name="_INSTRUCTION__7a3868cd_e909_48b7_9f3b_55"/>
      <w:bookmarkStart w:id="67" w:name="_PROCESSED_CHANGE__f25812b6_39c5_4643_a7"/>
      <w:bookmarkStart w:id="68" w:name="_PROCESSED_CHANGE__0f0bf03d_ee19_4870_8b"/>
      <w:bookmarkStart w:id="69" w:name="_PROCESSED_CHANGE__da3415f1_5a76_4c76_b6"/>
      <w:bookmarkStart w:id="70" w:name="_PROCESSED_CHANGE__997d064f_eafb_4af5_8a"/>
      <w:bookmarkEnd w:id="64"/>
      <w:r>
        <w:rPr>
          <w:rFonts w:ascii="Arial" w:eastAsia="Arial" w:hAnsi="Arial" w:cs="Arial"/>
          <w:u w:val="single"/>
        </w:rPr>
        <w:t>, replaced</w:t>
      </w:r>
      <w:bookmarkEnd w:id="65"/>
      <w:bookmarkEnd w:id="66"/>
      <w:bookmarkEnd w:id="67"/>
      <w:bookmarkEnd w:id="68"/>
      <w:bookmarkEnd w:id="69"/>
      <w:bookmarkEnd w:id="70"/>
      <w:r>
        <w:rPr>
          <w:rFonts w:ascii="Arial" w:eastAsia="Arial" w:hAnsi="Arial" w:cs="Arial"/>
          <w:u w:val="single"/>
        </w:rPr>
        <w:t xml:space="preserve"> or elevated within the boundaries of the parcel so that the water body or wetland setback requirement is met to the greatest practical extent.  This paragraph applies to structures that:</w:t>
      </w:r>
    </w:p>
    <w:p w:rsidR="0074662E" w:rsidP="0074662E">
      <w:pPr>
        <w:ind w:left="1080"/>
        <w:rPr>
          <w:rFonts w:ascii="Arial" w:eastAsia="Arial" w:hAnsi="Arial" w:cs="Arial"/>
        </w:rPr>
      </w:pPr>
      <w:bookmarkStart w:id="71" w:name="_STATUTE_SP__5b3c76ec_e9a4_489d_a10f_3f5"/>
      <w:bookmarkStart w:id="72" w:name="_PAR__10_12e8aa00_f0fd_4e33_82a2_df07fa0"/>
      <w:bookmarkEnd w:id="54"/>
      <w:bookmarkEnd w:id="56"/>
      <w:r>
        <w:rPr>
          <w:rFonts w:ascii="Arial" w:eastAsia="Arial" w:hAnsi="Arial" w:cs="Arial"/>
          <w:u w:val="single"/>
        </w:rPr>
        <w:t>(</w:t>
      </w:r>
      <w:bookmarkStart w:id="73" w:name="_STATUTE_NUMBER__e013abc9_571e_4e91_9c7a"/>
      <w:r>
        <w:rPr>
          <w:rFonts w:ascii="Arial" w:eastAsia="Arial" w:hAnsi="Arial" w:cs="Arial"/>
          <w:u w:val="single"/>
        </w:rPr>
        <w:t>1</w:t>
      </w:r>
      <w:bookmarkEnd w:id="73"/>
      <w:r>
        <w:rPr>
          <w:rFonts w:ascii="Arial" w:eastAsia="Arial" w:hAnsi="Arial" w:cs="Arial"/>
          <w:u w:val="single"/>
        </w:rPr>
        <w:t xml:space="preserve">) </w:t>
      </w:r>
      <w:bookmarkStart w:id="74" w:name="_STATUTE_CONTENT__a28a1296_9132_4fe2_92d"/>
      <w:r>
        <w:rPr>
          <w:rFonts w:ascii="Arial" w:eastAsia="Arial" w:hAnsi="Arial" w:cs="Arial"/>
          <w:u w:val="single"/>
        </w:rPr>
        <w:t>Have been or are proposed to be relocated, reconstructed</w:t>
      </w:r>
      <w:bookmarkStart w:id="75" w:name="_ENGROSSING_REV__888c2c39_648a_4976_a544"/>
      <w:bookmarkStart w:id="76" w:name="_REV__c0692bb9_7c18_468b_859e_c1cb02ae44"/>
      <w:bookmarkStart w:id="77" w:name="_INSTRUCTION__c095cb57_9459_45b7_8b9b_22"/>
      <w:bookmarkStart w:id="78" w:name="_PROCESSED_CHANGE__d67f8f08_b6ad_430d_aa"/>
      <w:bookmarkStart w:id="79" w:name="_PROCESSED_CHANGE__76ed2234_7e15_4690_95"/>
      <w:bookmarkStart w:id="80" w:name="_PROCESSED_CHANGE__d37ba37d_24dc_41bc_87"/>
      <w:bookmarkStart w:id="81" w:name="_PROCESSED_CHANGE__6eed66dd_1f24_450d_ad"/>
      <w:bookmarkEnd w:id="75"/>
      <w:r>
        <w:rPr>
          <w:rFonts w:ascii="Arial" w:eastAsia="Arial" w:hAnsi="Arial" w:cs="Arial"/>
          <w:u w:val="single"/>
        </w:rPr>
        <w:t>, replaced</w:t>
      </w:r>
      <w:bookmarkEnd w:id="76"/>
      <w:bookmarkEnd w:id="77"/>
      <w:bookmarkEnd w:id="78"/>
      <w:bookmarkEnd w:id="79"/>
      <w:bookmarkEnd w:id="80"/>
      <w:bookmarkEnd w:id="81"/>
      <w:r>
        <w:rPr>
          <w:rFonts w:ascii="Arial" w:eastAsia="Arial" w:hAnsi="Arial" w:cs="Arial"/>
          <w:u w:val="single"/>
        </w:rPr>
        <w:t xml:space="preserve"> or elevated to be consistent with the local floodplain management elevation requirement; and</w:t>
      </w:r>
    </w:p>
    <w:p w:rsidR="00000000" w:rsidP="0074662E">
      <w:pPr>
        <w:ind w:left="1080"/>
        <w:rPr>
          <w:rFonts w:ascii="Arial" w:eastAsia="Arial" w:hAnsi="Arial" w:cs="Arial"/>
        </w:rPr>
      </w:pPr>
      <w:bookmarkStart w:id="82" w:name="_STATUTE_SP__1a664dee_f059_45b8_a031_52b"/>
      <w:bookmarkStart w:id="83" w:name="_PAR__11_4fa7119e_7265_4c2b_ab55_38786a6"/>
      <w:bookmarkEnd w:id="71"/>
      <w:bookmarkEnd w:id="72"/>
      <w:bookmarkEnd w:id="74"/>
      <w:r>
        <w:rPr>
          <w:rFonts w:ascii="Arial" w:eastAsia="Arial" w:hAnsi="Arial" w:cs="Arial"/>
          <w:u w:val="single"/>
        </w:rPr>
        <w:t>(</w:t>
      </w:r>
      <w:bookmarkStart w:id="84" w:name="_STATUTE_NUMBER__6b64ef4b_c6eb_4a4f_934f"/>
      <w:r>
        <w:rPr>
          <w:rFonts w:ascii="Arial" w:eastAsia="Arial" w:hAnsi="Arial" w:cs="Arial"/>
          <w:u w:val="single"/>
        </w:rPr>
        <w:t>2</w:t>
      </w:r>
      <w:bookmarkEnd w:id="84"/>
      <w:r>
        <w:rPr>
          <w:rFonts w:ascii="Arial" w:eastAsia="Arial" w:hAnsi="Arial" w:cs="Arial"/>
          <w:u w:val="single"/>
        </w:rPr>
        <w:t xml:space="preserve">) </w:t>
      </w:r>
      <w:bookmarkStart w:id="85" w:name="_STATUTE_CONTENT__1f897449_f47f_4f99_bd0"/>
      <w:r>
        <w:rPr>
          <w:rFonts w:ascii="Arial" w:eastAsia="Arial" w:hAnsi="Arial" w:cs="Arial"/>
          <w:u w:val="single"/>
        </w:rPr>
        <w:t>Are located in an area of special flood hazard.</w:t>
      </w:r>
      <w:bookmarkEnd w:id="2"/>
      <w:bookmarkEnd w:id="6"/>
      <w:bookmarkEnd w:id="51"/>
      <w:bookmarkEnd w:id="55"/>
      <w:bookmarkEnd w:id="82"/>
      <w:bookmarkEnd w:id="83"/>
      <w:bookmarkEnd w:id="8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LR2252,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Exceptions to the Height Limitations under the Shoreland Zoning Laws</w:t>
    </w:r>
  </w:p>
  <w:p>
    <w:pPr>
      <w:suppressLineNumbers/>
      <w:spacing w:before="0" w:after="0"/>
      <w:jc w:val="center"/>
      <w:rPr>
        <w:rFonts w:ascii="Arial" w:eastAsia="Arial" w:hAnsi="Arial" w:cs="Arial"/>
      </w:rPr>
    </w:pPr>
    <w:r>
      <w:rPr>
        <w:rFonts w:ascii="Arial" w:eastAsia="Arial" w:hAnsi="Arial" w:cs="Arial"/>
        <w:sz w:val="22"/>
      </w:rPr>
      <w:t>L.D. 1809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4662E"/>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