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Increase Oversight of the Child Welfare System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605 - L.D. 1853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Increase Oversight of the Child Welfare System</w:t>
      </w:r>
    </w:p>
    <w:p w:rsidR="00932517" w:rsidP="00932517">
      <w:pPr>
        <w:ind w:left="360" w:firstLine="360"/>
        <w:rPr>
          <w:rFonts w:ascii="Arial" w:eastAsia="Arial" w:hAnsi="Arial" w:cs="Arial"/>
        </w:rPr>
      </w:pPr>
      <w:bookmarkStart w:id="0" w:name="_EMERGENCY_PREAMBLE__b89a7ff3_3316_4ddd_"/>
      <w:bookmarkStart w:id="1" w:name="_INSTRUCTION__191c1ef8_a06f_4052_9aa5_bb"/>
      <w:bookmarkStart w:id="2" w:name="_DOC_BODY_CONTAINER__862a8f3c_68bb_4927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932517" w:rsidP="00932517">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0F0D75">
        <w:rPr>
          <w:rFonts w:ascii="Arial" w:eastAsia="Arial" w:hAnsi="Arial" w:cs="Arial"/>
        </w:rPr>
        <w:t>the duty to protect children from abuse and neglect is a fundamental priority of the Legislature; and</w:t>
      </w:r>
    </w:p>
    <w:p w:rsidR="00932517" w:rsidP="00932517">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0F0D75">
        <w:rPr>
          <w:rFonts w:ascii="Arial" w:eastAsia="Arial" w:hAnsi="Arial" w:cs="Arial"/>
        </w:rPr>
        <w:t>the joint standing committee of the Legislature having jurisdiction over health and human services matters must receive reports from citizen review panels and the  Department of Health and Human Services</w:t>
      </w:r>
      <w:r>
        <w:rPr>
          <w:rFonts w:ascii="Arial" w:eastAsia="Arial" w:hAnsi="Arial" w:cs="Arial"/>
        </w:rPr>
        <w:t>,</w:t>
      </w:r>
      <w:r w:rsidRPr="000F0D75">
        <w:rPr>
          <w:rFonts w:ascii="Arial" w:eastAsia="Arial" w:hAnsi="Arial" w:cs="Arial"/>
        </w:rPr>
        <w:t xml:space="preserve"> Office of Child and Family Services as soon as possible</w:t>
      </w:r>
      <w:r>
        <w:rPr>
          <w:rFonts w:ascii="Arial" w:eastAsia="Arial" w:hAnsi="Arial" w:cs="Arial"/>
        </w:rPr>
        <w:t xml:space="preserve"> in order to consider legislation affecting the duty to protect children from abuse and neglect</w:t>
      </w:r>
      <w:r w:rsidRPr="000F0D75">
        <w:rPr>
          <w:rFonts w:ascii="Arial" w:eastAsia="Arial" w:hAnsi="Arial" w:cs="Arial"/>
        </w:rPr>
        <w:t>; and</w:t>
      </w:r>
    </w:p>
    <w:p w:rsidR="00932517" w:rsidP="00932517">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932517" w:rsidP="00932517">
      <w:pPr>
        <w:ind w:left="360" w:firstLine="360"/>
        <w:rPr>
          <w:rFonts w:ascii="Arial" w:eastAsia="Arial" w:hAnsi="Arial" w:cs="Arial"/>
        </w:rPr>
      </w:pPr>
      <w:bookmarkStart w:id="3" w:name="_BILL_SECTION_UNALLOCATED__0143be77_0971"/>
      <w:bookmarkStart w:id="4" w:name="_DOC_BODY_CONTENT__67b36f48_8653_4e16_a2"/>
      <w:bookmarkEnd w:id="0"/>
      <w:r>
        <w:rPr>
          <w:rFonts w:ascii="Arial" w:eastAsia="Arial" w:hAnsi="Arial" w:cs="Arial"/>
          <w:b/>
          <w:sz w:val="24"/>
        </w:rPr>
        <w:t xml:space="preserve">Sec. </w:t>
      </w:r>
      <w:bookmarkStart w:id="5" w:name="_BILL_SECTION_NUMBER__5a310f91_d0fb_4820"/>
      <w:r>
        <w:rPr>
          <w:rFonts w:ascii="Arial" w:eastAsia="Arial" w:hAnsi="Arial" w:cs="Arial"/>
          <w:b/>
          <w:sz w:val="24"/>
        </w:rPr>
        <w:t>1</w:t>
      </w:r>
      <w:bookmarkEnd w:id="5"/>
      <w:r>
        <w:rPr>
          <w:rFonts w:ascii="Arial" w:eastAsia="Arial" w:hAnsi="Arial" w:cs="Arial"/>
          <w:b/>
          <w:sz w:val="24"/>
        </w:rPr>
        <w:t>.</w:t>
      </w:r>
      <w:r>
        <w:rPr>
          <w:rFonts w:ascii="Arial" w:eastAsia="Arial" w:hAnsi="Arial" w:cs="Arial"/>
        </w:rPr>
        <w:t xml:space="preserve">  </w:t>
      </w:r>
      <w:r w:rsidRPr="00370258">
        <w:rPr>
          <w:rFonts w:ascii="Arial" w:eastAsia="Arial" w:hAnsi="Arial" w:cs="Arial"/>
          <w:b/>
          <w:sz w:val="24"/>
          <w:szCs w:val="24"/>
        </w:rPr>
        <w:t>Citizen panels quarterly reports.  Resolved:</w:t>
      </w:r>
      <w:r>
        <w:rPr>
          <w:rFonts w:ascii="Arial" w:eastAsia="Arial" w:hAnsi="Arial" w:cs="Arial"/>
        </w:rPr>
        <w:t xml:space="preserve">  That the child welfare advisory panel, referred to in this section as "the advisory panel," established pursuant to the Maine Revised Statutes, Title 22, section 4010-D and the child death and serious injury review panel, referred to in this section as "the review panel," established in Title 22, section 4004, subsection 1, paragraph E, shall submit reports to the joint standing committee of the Legislature having jurisdiction over health and human services matters at least every 3 months beginning in June 2022 and until June 30, 2024.  The advisory panel and the review panel may choose to submit combined reports or separate reports.  Any presentations of the reports to the committee must be presented by the citizen members of the panels to the extent possible.  Each quarterly report must contain, at minimum, the following:</w:t>
      </w:r>
    </w:p>
    <w:p w:rsidR="00932517" w:rsidP="00932517">
      <w:pPr>
        <w:ind w:left="360" w:firstLine="360"/>
        <w:rPr>
          <w:rFonts w:ascii="Arial" w:eastAsia="Arial" w:hAnsi="Arial" w:cs="Arial"/>
        </w:rPr>
      </w:pPr>
      <w:r>
        <w:rPr>
          <w:rFonts w:ascii="Arial" w:eastAsia="Arial" w:hAnsi="Arial" w:cs="Arial"/>
        </w:rPr>
        <w:t>1.  A summary of generalized and anonymized observations in the prior 3-month period regarding efforts by the Department of Health and Human Services, Office of Child and Family Services to improve the child welfare system;</w:t>
      </w:r>
    </w:p>
    <w:p w:rsidR="00932517" w:rsidP="00932517">
      <w:pPr>
        <w:ind w:left="360" w:firstLine="360"/>
        <w:rPr>
          <w:rFonts w:ascii="Arial" w:eastAsia="Arial" w:hAnsi="Arial" w:cs="Arial"/>
        </w:rPr>
      </w:pPr>
      <w:r>
        <w:rPr>
          <w:rFonts w:ascii="Arial" w:eastAsia="Arial" w:hAnsi="Arial" w:cs="Arial"/>
        </w:rPr>
        <w:t>2.  A summary of the collaboration between the advisory panel and the review panel as well as the Justice for Children Task Force established in 2006 that reports to the Supreme Judicial Court; and</w:t>
      </w:r>
    </w:p>
    <w:p w:rsidR="00932517" w:rsidP="00932517">
      <w:pPr>
        <w:ind w:left="360" w:firstLine="360"/>
        <w:rPr>
          <w:rFonts w:ascii="Arial" w:eastAsia="Arial" w:hAnsi="Arial" w:cs="Arial"/>
        </w:rPr>
      </w:pPr>
      <w:r>
        <w:rPr>
          <w:rFonts w:ascii="Arial" w:eastAsia="Arial" w:hAnsi="Arial" w:cs="Arial"/>
        </w:rPr>
        <w:t>3.  Any recommendations on how to further protect the State's children through Department of Health and Human Services policy and rulemaking and through legislation.</w:t>
      </w:r>
    </w:p>
    <w:p w:rsidR="00932517" w:rsidP="00932517">
      <w:pPr>
        <w:ind w:left="360" w:firstLine="360"/>
        <w:rPr>
          <w:rFonts w:ascii="Arial" w:eastAsia="Arial" w:hAnsi="Arial" w:cs="Arial"/>
        </w:rPr>
      </w:pPr>
      <w:bookmarkStart w:id="6" w:name="_BILL_SECTION_UNALLOCATED__1b0022f7_ccc5"/>
      <w:bookmarkEnd w:id="3"/>
      <w:r>
        <w:rPr>
          <w:rFonts w:ascii="Arial" w:eastAsia="Arial" w:hAnsi="Arial" w:cs="Arial"/>
          <w:b/>
          <w:sz w:val="24"/>
        </w:rPr>
        <w:t xml:space="preserve">Sec. </w:t>
      </w:r>
      <w:bookmarkStart w:id="7" w:name="_BILL_SECTION_NUMBER__0b20d3fc_6905_41db"/>
      <w:r>
        <w:rPr>
          <w:rFonts w:ascii="Arial" w:eastAsia="Arial" w:hAnsi="Arial" w:cs="Arial"/>
          <w:b/>
          <w:sz w:val="24"/>
        </w:rPr>
        <w:t>2</w:t>
      </w:r>
      <w:bookmarkEnd w:id="7"/>
      <w:r>
        <w:rPr>
          <w:rFonts w:ascii="Arial" w:eastAsia="Arial" w:hAnsi="Arial" w:cs="Arial"/>
          <w:b/>
          <w:sz w:val="24"/>
        </w:rPr>
        <w:t>.</w:t>
      </w:r>
      <w:r>
        <w:rPr>
          <w:rFonts w:ascii="Arial" w:eastAsia="Arial" w:hAnsi="Arial" w:cs="Arial"/>
        </w:rPr>
        <w:t xml:space="preserve">  </w:t>
      </w:r>
      <w:r w:rsidRPr="00370258">
        <w:rPr>
          <w:rFonts w:ascii="Arial" w:eastAsia="Arial" w:hAnsi="Arial" w:cs="Arial"/>
          <w:b/>
          <w:sz w:val="24"/>
          <w:szCs w:val="24"/>
        </w:rPr>
        <w:t>Department of Health and Human Services, Office of Child and Family Services to provide quarterly reports.  Resolved:</w:t>
      </w:r>
      <w:r>
        <w:rPr>
          <w:rFonts w:ascii="Arial" w:eastAsia="Arial" w:hAnsi="Arial" w:cs="Arial"/>
        </w:rPr>
        <w:t xml:space="preserve">  That the Department of Health and Human Services, Office of Child and Family Services shall submit reports to the joint standing committee of the Legislature having jurisdiction over health and human services matters at least every 3 months beginning in June 2022 and until June 30, 2024.  The reports must address the progress in implementing the recommendations of the Casey Family Programs and Collaborative Safety report completed for the department in October 2021, responses to recommendations from the child welfare advisory panel established pursuant to the Maine Revised Statutes, Title 22, section 4010-D and progress in efforts described in the department's annual report on child welfare.  The reports must address, at minimum, the following:</w:t>
      </w:r>
    </w:p>
    <w:p w:rsidR="00932517" w:rsidP="00932517">
      <w:pPr>
        <w:ind w:left="360" w:firstLine="360"/>
        <w:rPr>
          <w:rFonts w:ascii="Arial" w:eastAsia="Arial" w:hAnsi="Arial" w:cs="Arial"/>
        </w:rPr>
      </w:pPr>
      <w:r>
        <w:rPr>
          <w:rFonts w:ascii="Arial" w:eastAsia="Arial" w:hAnsi="Arial" w:cs="Arial"/>
        </w:rPr>
        <w:t xml:space="preserve">1.  Efforts to further coordinate and advance child welfare services in primary, secondary and tertiary prevention, as those prevention services are described by the Office of Child and Family Services; </w:t>
      </w:r>
    </w:p>
    <w:p w:rsidR="00932517" w:rsidP="00932517">
      <w:pPr>
        <w:ind w:left="360" w:firstLine="360"/>
        <w:rPr>
          <w:rFonts w:ascii="Arial" w:eastAsia="Arial" w:hAnsi="Arial" w:cs="Arial"/>
        </w:rPr>
      </w:pPr>
      <w:r>
        <w:rPr>
          <w:rFonts w:ascii="Arial" w:eastAsia="Arial" w:hAnsi="Arial" w:cs="Arial"/>
        </w:rPr>
        <w:t>2.  Efforts to expand the use and value of family team meetings;</w:t>
      </w:r>
    </w:p>
    <w:p w:rsidR="00932517" w:rsidP="00932517">
      <w:pPr>
        <w:ind w:left="360" w:firstLine="360"/>
        <w:rPr>
          <w:rFonts w:ascii="Arial" w:eastAsia="Arial" w:hAnsi="Arial" w:cs="Arial"/>
        </w:rPr>
      </w:pPr>
      <w:r>
        <w:rPr>
          <w:rFonts w:ascii="Arial" w:eastAsia="Arial" w:hAnsi="Arial" w:cs="Arial"/>
        </w:rPr>
        <w:t xml:space="preserve">3.  Efforts to expand the use of participation of people with lived experience in the development of policy regarding and operation of the child welfare system; </w:t>
      </w:r>
    </w:p>
    <w:p w:rsidR="00932517" w:rsidP="00932517">
      <w:pPr>
        <w:ind w:left="360" w:firstLine="360"/>
        <w:rPr>
          <w:rFonts w:ascii="Arial" w:eastAsia="Arial" w:hAnsi="Arial" w:cs="Arial"/>
        </w:rPr>
      </w:pPr>
      <w:r>
        <w:rPr>
          <w:rFonts w:ascii="Arial" w:eastAsia="Arial" w:hAnsi="Arial" w:cs="Arial"/>
        </w:rPr>
        <w:t xml:space="preserve">4.  A review of the department's policies and practices regarding domestic violence and the ability of the nonoffending parent to assume custody of the children; </w:t>
      </w:r>
    </w:p>
    <w:p w:rsidR="00932517" w:rsidP="00932517">
      <w:pPr>
        <w:ind w:left="360" w:firstLine="360"/>
        <w:rPr>
          <w:rFonts w:ascii="Arial" w:eastAsia="Arial" w:hAnsi="Arial" w:cs="Arial"/>
        </w:rPr>
      </w:pPr>
      <w:r>
        <w:rPr>
          <w:rFonts w:ascii="Arial" w:eastAsia="Arial" w:hAnsi="Arial" w:cs="Arial"/>
        </w:rPr>
        <w:t>5.  Efforts to work with the Guardian Ad Litem Review Board under the Board of Overseers of the Bar, the judicial branch and other interested parties to improve the training and support of guardians ad litem; and</w:t>
      </w:r>
    </w:p>
    <w:p w:rsidR="00932517" w:rsidP="00932517">
      <w:pPr>
        <w:ind w:left="360" w:firstLine="360"/>
        <w:rPr>
          <w:rFonts w:ascii="Arial" w:eastAsia="Arial" w:hAnsi="Arial" w:cs="Arial"/>
        </w:rPr>
      </w:pPr>
      <w:r>
        <w:rPr>
          <w:rFonts w:ascii="Arial" w:eastAsia="Arial" w:hAnsi="Arial" w:cs="Arial"/>
        </w:rPr>
        <w:t>6.  Any recommendations on how to further protect the State's children, through department policy and rulemaking and legislation.</w:t>
      </w:r>
    </w:p>
    <w:p w:rsidR="00932517" w:rsidP="00932517">
      <w:pPr>
        <w:ind w:left="360" w:firstLine="360"/>
        <w:rPr>
          <w:rFonts w:ascii="Arial" w:eastAsia="Arial" w:hAnsi="Arial" w:cs="Arial"/>
        </w:rPr>
      </w:pPr>
      <w:bookmarkStart w:id="8" w:name="_BILL_SECTION_UNALLOCATED__514e2b74_e0dd"/>
      <w:bookmarkEnd w:id="6"/>
      <w:r>
        <w:rPr>
          <w:rFonts w:ascii="Arial" w:eastAsia="Arial" w:hAnsi="Arial" w:cs="Arial"/>
          <w:b/>
          <w:sz w:val="24"/>
        </w:rPr>
        <w:t xml:space="preserve">Sec. </w:t>
      </w:r>
      <w:bookmarkStart w:id="9" w:name="_BILL_SECTION_NUMBER__1d0d4f9f_efd2_4e22"/>
      <w:r>
        <w:rPr>
          <w:rFonts w:ascii="Arial" w:eastAsia="Arial" w:hAnsi="Arial" w:cs="Arial"/>
          <w:b/>
          <w:sz w:val="24"/>
        </w:rPr>
        <w:t>3</w:t>
      </w:r>
      <w:bookmarkEnd w:id="9"/>
      <w:r>
        <w:rPr>
          <w:rFonts w:ascii="Arial" w:eastAsia="Arial" w:hAnsi="Arial" w:cs="Arial"/>
          <w:b/>
          <w:sz w:val="24"/>
        </w:rPr>
        <w:t>.</w:t>
      </w:r>
      <w:r>
        <w:rPr>
          <w:rFonts w:ascii="Arial" w:eastAsia="Arial" w:hAnsi="Arial" w:cs="Arial"/>
        </w:rPr>
        <w:t xml:space="preserve">  </w:t>
      </w:r>
      <w:r w:rsidRPr="00370258">
        <w:rPr>
          <w:rFonts w:ascii="Arial" w:eastAsia="Arial" w:hAnsi="Arial" w:cs="Arial"/>
          <w:b/>
          <w:sz w:val="24"/>
          <w:szCs w:val="24"/>
        </w:rPr>
        <w:t>Legislation authorized.  Resolved:</w:t>
      </w:r>
      <w:r w:rsidRPr="00370258">
        <w:rPr>
          <w:rFonts w:ascii="Arial" w:eastAsia="Arial" w:hAnsi="Arial" w:cs="Arial"/>
        </w:rPr>
        <w:t xml:space="preserve">  That the joint standing committee of the Legislature having jurisdiction over health and human services matters is authorized to report out </w:t>
      </w:r>
      <w:r>
        <w:rPr>
          <w:rFonts w:ascii="Arial" w:eastAsia="Arial" w:hAnsi="Arial" w:cs="Arial"/>
        </w:rPr>
        <w:t xml:space="preserve">related </w:t>
      </w:r>
      <w:r w:rsidRPr="00370258">
        <w:rPr>
          <w:rFonts w:ascii="Arial" w:eastAsia="Arial" w:hAnsi="Arial" w:cs="Arial"/>
        </w:rPr>
        <w:t xml:space="preserve">legislation to the next regular or special session </w:t>
      </w:r>
      <w:r>
        <w:rPr>
          <w:rFonts w:ascii="Arial" w:eastAsia="Arial" w:hAnsi="Arial" w:cs="Arial"/>
        </w:rPr>
        <w:t xml:space="preserve">of the Legislature </w:t>
      </w:r>
      <w:r w:rsidRPr="00370258">
        <w:rPr>
          <w:rFonts w:ascii="Arial" w:eastAsia="Arial" w:hAnsi="Arial" w:cs="Arial"/>
        </w:rPr>
        <w:t xml:space="preserve">after any quarterly report submitted pursuant to this </w:t>
      </w:r>
      <w:r>
        <w:rPr>
          <w:rFonts w:ascii="Arial" w:eastAsia="Arial" w:hAnsi="Arial" w:cs="Arial"/>
        </w:rPr>
        <w:t>r</w:t>
      </w:r>
      <w:r w:rsidRPr="00370258">
        <w:rPr>
          <w:rFonts w:ascii="Arial" w:eastAsia="Arial" w:hAnsi="Arial" w:cs="Arial"/>
        </w:rPr>
        <w:t>esolve.</w:t>
      </w:r>
    </w:p>
    <w:p w:rsidR="00000000" w:rsidP="00932517">
      <w:pPr>
        <w:ind w:left="360" w:firstLine="360"/>
        <w:rPr>
          <w:rFonts w:ascii="Arial" w:eastAsia="Arial" w:hAnsi="Arial" w:cs="Arial"/>
        </w:rPr>
      </w:pPr>
      <w:bookmarkStart w:id="10" w:name="_EMERGENCY_CLAUSE__e141573f_43af_4f98_8d"/>
      <w:bookmarkEnd w:id="4"/>
      <w:bookmarkEnd w:id="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1"/>
      <w:bookmarkEnd w:id="2"/>
      <w:bookmarkEnd w:id="1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LR2278,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Increase Oversight of the Child Welfare System</w:t>
    </w:r>
  </w:p>
  <w:p>
    <w:pPr>
      <w:suppressLineNumbers/>
      <w:spacing w:before="0" w:after="0"/>
      <w:jc w:val="center"/>
      <w:rPr>
        <w:rFonts w:ascii="Arial" w:eastAsia="Arial" w:hAnsi="Arial" w:cs="Arial"/>
      </w:rPr>
    </w:pPr>
    <w:r>
      <w:rPr>
        <w:rFonts w:ascii="Arial" w:eastAsia="Arial" w:hAnsi="Arial" w:cs="Arial"/>
        <w:sz w:val="22"/>
      </w:rPr>
      <w:t>L.D. 1853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F0D75"/>
    <w:rsid w:val="0011558B"/>
    <w:rsid w:val="00142693"/>
    <w:rsid w:val="00166945"/>
    <w:rsid w:val="001A2BC9"/>
    <w:rsid w:val="001E1D8B"/>
    <w:rsid w:val="00257B1E"/>
    <w:rsid w:val="002A3C2A"/>
    <w:rsid w:val="002A3D55"/>
    <w:rsid w:val="002D357F"/>
    <w:rsid w:val="00361F3E"/>
    <w:rsid w:val="00370258"/>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2517"/>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